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三明市矛盾纠纷多元预防化解办法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（草案征求意见稿）</w:t>
      </w:r>
    </w:p>
    <w:p>
      <w:pPr>
        <w:pStyle w:val="11"/>
        <w:rPr>
          <w:rFonts w:hint="eastAsia"/>
          <w:lang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第一条</w:t>
      </w:r>
      <w:r>
        <w:rPr>
          <w:rFonts w:hint="eastAsia" w:ascii="黑体" w:hAnsi="黑体" w:eastAsia="黑体"/>
          <w:color w:val="000000"/>
          <w:sz w:val="32"/>
          <w:szCs w:val="32"/>
        </w:rPr>
        <w:t>【</w:t>
      </w:r>
      <w:r>
        <w:rPr>
          <w:rFonts w:hint="eastAsia" w:ascii="黑体" w:hAnsi="黑体" w:eastAsia="黑体"/>
          <w:color w:val="000000"/>
          <w:sz w:val="32"/>
          <w:szCs w:val="32"/>
          <w:lang w:eastAsia="zh-CN"/>
        </w:rPr>
        <w:t>立法目的</w:t>
      </w:r>
      <w:r>
        <w:rPr>
          <w:rFonts w:hint="eastAsia" w:ascii="黑体" w:hAnsi="黑体" w:eastAsia="黑体"/>
          <w:color w:val="000000"/>
          <w:sz w:val="32"/>
          <w:szCs w:val="32"/>
        </w:rPr>
        <w:t>】</w:t>
      </w:r>
      <w:r>
        <w:rPr>
          <w:rFonts w:hint="eastAsia" w:ascii="黑体" w:hAnsi="宋体" w:eastAsia="黑体"/>
          <w:b w:val="0"/>
          <w:i w:val="0"/>
          <w:color w:val="000000"/>
          <w:spacing w:val="0"/>
          <w:sz w:val="32"/>
          <w:szCs w:val="32"/>
          <w:shd w:val="clear" w:color="auto" w:fill="FFFFFF"/>
        </w:rPr>
        <w:t>  </w:t>
      </w:r>
      <w:r>
        <w:rPr>
          <w:rFonts w:hint="eastAsia" w:ascii="仿宋_GB2312" w:eastAsia="仿宋_GB2312"/>
          <w:sz w:val="32"/>
          <w:szCs w:val="32"/>
        </w:rPr>
        <w:t>为了</w:t>
      </w:r>
      <w:r>
        <w:rPr>
          <w:rFonts w:hint="eastAsia" w:ascii="仿宋_GB2312" w:eastAsia="仿宋_GB2312"/>
          <w:sz w:val="32"/>
          <w:szCs w:val="32"/>
          <w:lang w:eastAsia="zh-CN"/>
        </w:rPr>
        <w:t>推进</w:t>
      </w:r>
      <w:r>
        <w:rPr>
          <w:rFonts w:hint="eastAsia" w:ascii="仿宋_GB2312" w:eastAsia="仿宋_GB2312"/>
          <w:sz w:val="32"/>
          <w:szCs w:val="32"/>
        </w:rPr>
        <w:t>矛盾纠纷</w:t>
      </w:r>
      <w:r>
        <w:rPr>
          <w:rFonts w:hint="eastAsia" w:ascii="仿宋_GB2312" w:eastAsia="仿宋_GB2312"/>
          <w:sz w:val="32"/>
          <w:szCs w:val="32"/>
          <w:lang w:eastAsia="zh-CN"/>
        </w:rPr>
        <w:t>预防和</w:t>
      </w:r>
      <w:r>
        <w:rPr>
          <w:rFonts w:hint="eastAsia" w:ascii="仿宋_GB2312" w:eastAsia="仿宋_GB2312"/>
          <w:sz w:val="32"/>
          <w:szCs w:val="32"/>
        </w:rPr>
        <w:t>化解工作，保障</w:t>
      </w:r>
      <w:r>
        <w:rPr>
          <w:rFonts w:hint="eastAsia" w:ascii="仿宋_GB2312" w:eastAsia="仿宋_GB2312"/>
          <w:sz w:val="32"/>
          <w:szCs w:val="32"/>
          <w:lang w:eastAsia="zh-CN"/>
        </w:rPr>
        <w:t>人民</w:t>
      </w:r>
      <w:r>
        <w:rPr>
          <w:rFonts w:hint="eastAsia" w:ascii="仿宋_GB2312" w:eastAsia="仿宋_GB2312"/>
          <w:sz w:val="32"/>
          <w:szCs w:val="32"/>
        </w:rPr>
        <w:t>群众</w:t>
      </w:r>
      <w:r>
        <w:rPr>
          <w:rFonts w:hint="eastAsia" w:ascii="仿宋_GB2312" w:eastAsia="仿宋_GB2312"/>
          <w:sz w:val="32"/>
          <w:szCs w:val="32"/>
          <w:lang w:eastAsia="zh-CN"/>
        </w:rPr>
        <w:t>的</w:t>
      </w:r>
      <w:r>
        <w:rPr>
          <w:rFonts w:hint="eastAsia" w:ascii="仿宋_GB2312" w:eastAsia="仿宋_GB2312"/>
          <w:sz w:val="32"/>
          <w:szCs w:val="32"/>
        </w:rPr>
        <w:t>合法权益，</w:t>
      </w:r>
      <w:r>
        <w:rPr>
          <w:rFonts w:hint="eastAsia" w:ascii="仿宋_GB2312" w:eastAsia="仿宋_GB2312"/>
          <w:sz w:val="32"/>
          <w:szCs w:val="32"/>
          <w:lang w:eastAsia="zh-CN"/>
        </w:rPr>
        <w:t>提升社会</w:t>
      </w:r>
      <w:r>
        <w:rPr>
          <w:rFonts w:hint="eastAsia" w:ascii="仿宋_GB2312" w:eastAsia="仿宋_GB2312"/>
          <w:sz w:val="32"/>
          <w:szCs w:val="32"/>
        </w:rPr>
        <w:t>治理</w:t>
      </w:r>
      <w:r>
        <w:rPr>
          <w:rFonts w:hint="eastAsia" w:ascii="仿宋_GB2312" w:eastAsia="仿宋_GB2312"/>
          <w:sz w:val="32"/>
          <w:szCs w:val="32"/>
          <w:lang w:eastAsia="zh-CN"/>
        </w:rPr>
        <w:t>能力</w:t>
      </w:r>
      <w:r>
        <w:rPr>
          <w:rFonts w:hint="eastAsia" w:ascii="仿宋_GB2312" w:eastAsia="仿宋_GB2312"/>
          <w:sz w:val="32"/>
          <w:szCs w:val="32"/>
        </w:rPr>
        <w:t>现代化</w:t>
      </w:r>
      <w:r>
        <w:rPr>
          <w:rFonts w:hint="eastAsia" w:ascii="仿宋_GB2312" w:eastAsia="仿宋_GB2312"/>
          <w:sz w:val="32"/>
          <w:szCs w:val="32"/>
          <w:lang w:eastAsia="zh-CN"/>
        </w:rPr>
        <w:t>水平</w:t>
      </w:r>
      <w:r>
        <w:rPr>
          <w:rFonts w:hint="eastAsia" w:ascii="仿宋_GB2312" w:eastAsia="仿宋_GB2312"/>
          <w:sz w:val="32"/>
          <w:szCs w:val="32"/>
        </w:rPr>
        <w:t>，</w:t>
      </w:r>
      <w:r>
        <w:rPr>
          <w:rFonts w:hint="eastAsia" w:ascii="仿宋_GB2312" w:eastAsia="仿宋_GB2312"/>
          <w:sz w:val="32"/>
          <w:szCs w:val="32"/>
          <w:lang w:eastAsia="zh-CN"/>
        </w:rPr>
        <w:t>建设更高水平的平安三明、法治三明，</w:t>
      </w:r>
      <w:r>
        <w:rPr>
          <w:rFonts w:hint="eastAsia" w:ascii="仿宋_GB2312" w:eastAsia="仿宋_GB2312"/>
          <w:sz w:val="32"/>
          <w:szCs w:val="32"/>
        </w:rPr>
        <w:t>根据</w:t>
      </w:r>
      <w:r>
        <w:rPr>
          <w:rFonts w:hint="eastAsia" w:ascii="仿宋_GB2312" w:eastAsia="仿宋_GB2312"/>
          <w:sz w:val="32"/>
          <w:szCs w:val="32"/>
          <w:lang w:eastAsia="zh-CN"/>
        </w:rPr>
        <w:t>《中华人民共和国人民调解法》《</w:t>
      </w:r>
      <w:r>
        <w:rPr>
          <w:rFonts w:hint="eastAsia" w:ascii="仿宋_GB2312" w:eastAsia="仿宋_GB2312"/>
          <w:sz w:val="32"/>
          <w:szCs w:val="32"/>
        </w:rPr>
        <w:t>福建省多元化解纠纷条例</w:t>
      </w:r>
      <w:r>
        <w:rPr>
          <w:rFonts w:hint="eastAsia" w:ascii="仿宋_GB2312" w:eastAsia="仿宋_GB2312"/>
          <w:sz w:val="32"/>
          <w:szCs w:val="32"/>
          <w:lang w:eastAsia="zh-CN"/>
        </w:rPr>
        <w:t>》等</w:t>
      </w:r>
      <w:r>
        <w:rPr>
          <w:rFonts w:hint="eastAsia" w:ascii="仿宋_GB2312" w:eastAsia="仿宋_GB2312"/>
          <w:sz w:val="32"/>
          <w:szCs w:val="32"/>
        </w:rPr>
        <w:t>有关法律</w:t>
      </w:r>
      <w:r>
        <w:rPr>
          <w:rFonts w:hint="eastAsia" w:ascii="仿宋_GB2312" w:eastAsia="仿宋_GB2312"/>
          <w:sz w:val="32"/>
          <w:szCs w:val="32"/>
          <w:lang w:eastAsia="zh-CN"/>
        </w:rPr>
        <w:t>、</w:t>
      </w:r>
      <w:r>
        <w:rPr>
          <w:rFonts w:hint="eastAsia" w:ascii="仿宋_GB2312" w:eastAsia="仿宋_GB2312"/>
          <w:sz w:val="32"/>
          <w:szCs w:val="32"/>
        </w:rPr>
        <w:t>法规，结合本市实际，制定本</w:t>
      </w:r>
      <w:r>
        <w:rPr>
          <w:rFonts w:hint="eastAsia" w:ascii="仿宋_GB2312" w:eastAsia="仿宋_GB2312"/>
          <w:sz w:val="32"/>
          <w:szCs w:val="32"/>
          <w:lang w:eastAsia="zh-CN"/>
        </w:rPr>
        <w:t>办法</w:t>
      </w:r>
      <w:r>
        <w:rPr>
          <w:rFonts w:hint="eastAsia" w:ascii="仿宋_GB2312" w:eastAsia="仿宋_GB2312"/>
          <w:sz w:val="32"/>
          <w:szCs w:val="32"/>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第二条</w:t>
      </w:r>
      <w:r>
        <w:rPr>
          <w:rFonts w:hint="eastAsia" w:ascii="黑体" w:hAnsi="黑体" w:eastAsia="黑体"/>
          <w:color w:val="000000"/>
          <w:sz w:val="32"/>
          <w:szCs w:val="32"/>
        </w:rPr>
        <w:t>【</w:t>
      </w:r>
      <w:r>
        <w:rPr>
          <w:rFonts w:hint="eastAsia" w:ascii="黑体" w:hAnsi="黑体" w:eastAsia="黑体"/>
          <w:color w:val="000000"/>
          <w:sz w:val="32"/>
          <w:szCs w:val="32"/>
          <w:lang w:eastAsia="zh-CN"/>
        </w:rPr>
        <w:t>适用范围</w:t>
      </w:r>
      <w:r>
        <w:rPr>
          <w:rFonts w:hint="eastAsia" w:ascii="黑体" w:hAnsi="黑体" w:eastAsia="黑体"/>
          <w:color w:val="000000"/>
          <w:sz w:val="32"/>
          <w:szCs w:val="32"/>
        </w:rPr>
        <w:t>】</w:t>
      </w:r>
      <w:r>
        <w:rPr>
          <w:rFonts w:hint="eastAsia" w:ascii="黑体" w:hAnsi="宋体" w:eastAsia="黑体"/>
          <w:b w:val="0"/>
          <w:i w:val="0"/>
          <w:color w:val="000000"/>
          <w:spacing w:val="0"/>
          <w:sz w:val="32"/>
          <w:szCs w:val="32"/>
          <w:shd w:val="clear" w:color="auto" w:fill="FFFFFF"/>
        </w:rPr>
        <w:t>  </w:t>
      </w:r>
      <w:r>
        <w:rPr>
          <w:rFonts w:hint="eastAsia" w:ascii="仿宋_GB2312" w:eastAsia="仿宋_GB2312"/>
          <w:sz w:val="32"/>
          <w:szCs w:val="32"/>
          <w:lang w:eastAsia="zh-CN"/>
        </w:rPr>
        <w:t>本市行政区域内矛盾纠纷源头预防、多元化解和保障监督工作以及相关活动，适用本办法。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本办法所称的矛盾纠纷，是指在自然人、法人和非法人组织之间发生的，以及行政机关或者法律、法规、规章授权的组织因行使职权与当事人之间发生的，影响和谐的争议和冲突。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第三条</w:t>
      </w:r>
      <w:r>
        <w:rPr>
          <w:rFonts w:hint="eastAsia" w:ascii="黑体" w:hAnsi="黑体" w:eastAsia="黑体"/>
          <w:color w:val="000000"/>
          <w:sz w:val="32"/>
          <w:szCs w:val="32"/>
        </w:rPr>
        <w:t>【</w:t>
      </w:r>
      <w:r>
        <w:rPr>
          <w:rFonts w:hint="eastAsia" w:ascii="黑体" w:hAnsi="黑体" w:eastAsia="黑体"/>
          <w:color w:val="000000"/>
          <w:sz w:val="32"/>
          <w:szCs w:val="32"/>
          <w:lang w:eastAsia="zh-CN"/>
        </w:rPr>
        <w:t>工作原则</w:t>
      </w:r>
      <w:r>
        <w:rPr>
          <w:rFonts w:hint="eastAsia" w:ascii="黑体" w:hAnsi="黑体" w:eastAsia="黑体"/>
          <w:color w:val="000000"/>
          <w:sz w:val="32"/>
          <w:szCs w:val="32"/>
        </w:rPr>
        <w:t>】</w:t>
      </w:r>
      <w:r>
        <w:rPr>
          <w:rFonts w:hint="eastAsia" w:ascii="黑体" w:hAnsi="宋体" w:eastAsia="黑体"/>
          <w:b w:val="0"/>
          <w:i w:val="0"/>
          <w:color w:val="000000"/>
          <w:spacing w:val="0"/>
          <w:sz w:val="32"/>
          <w:szCs w:val="32"/>
          <w:shd w:val="clear" w:color="auto" w:fill="FFFFFF"/>
        </w:rPr>
        <w:t>  </w:t>
      </w:r>
      <w:r>
        <w:rPr>
          <w:rFonts w:hint="eastAsia" w:ascii="仿宋_GB2312" w:hAnsi="Calibri" w:eastAsia="仿宋_GB2312"/>
          <w:kern w:val="0"/>
          <w:sz w:val="32"/>
          <w:szCs w:val="32"/>
          <w:lang w:val="en-US" w:eastAsia="zh-CN" w:bidi="ar"/>
        </w:rPr>
        <w:t>矛盾纠纷预防和化解工作应当坚持中国共产党的领导，坚持以人民为中心的发展思想，坚持和发展新时代“枫桥经验”，注重预防与化解相结合，推进法治与自治、德治相融合，促进矛盾纠纷化解在基层、化解在萌芽状态。</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第四条</w:t>
      </w:r>
      <w:r>
        <w:rPr>
          <w:rFonts w:hint="eastAsia" w:ascii="黑体" w:hAnsi="黑体" w:eastAsia="黑体"/>
          <w:color w:val="000000"/>
          <w:sz w:val="32"/>
          <w:szCs w:val="32"/>
        </w:rPr>
        <w:t>【</w:t>
      </w:r>
      <w:r>
        <w:rPr>
          <w:rFonts w:hint="eastAsia" w:ascii="黑体" w:hAnsi="黑体" w:eastAsia="黑体"/>
          <w:color w:val="000000"/>
          <w:sz w:val="32"/>
          <w:szCs w:val="32"/>
          <w:lang w:eastAsia="zh-CN"/>
        </w:rPr>
        <w:t>政府职责</w:t>
      </w:r>
      <w:r>
        <w:rPr>
          <w:rFonts w:hint="eastAsia" w:ascii="黑体" w:hAnsi="黑体" w:eastAsia="黑体"/>
          <w:color w:val="000000"/>
          <w:sz w:val="32"/>
          <w:szCs w:val="32"/>
        </w:rPr>
        <w:t>】</w:t>
      </w:r>
      <w:r>
        <w:rPr>
          <w:rFonts w:hint="eastAsia" w:ascii="黑体" w:hAnsi="宋体" w:eastAsia="黑体"/>
          <w:b w:val="0"/>
          <w:i w:val="0"/>
          <w:color w:val="000000"/>
          <w:spacing w:val="0"/>
          <w:sz w:val="32"/>
          <w:szCs w:val="32"/>
          <w:shd w:val="clear" w:color="auto" w:fill="FFFFFF"/>
        </w:rPr>
        <w:t>  </w:t>
      </w:r>
      <w:r>
        <w:rPr>
          <w:rFonts w:hint="eastAsia" w:ascii="仿宋_GB2312" w:eastAsia="仿宋_GB2312"/>
          <w:kern w:val="0"/>
          <w:sz w:val="32"/>
          <w:szCs w:val="32"/>
          <w:lang w:val="en-US" w:eastAsia="zh-CN" w:bidi="ar"/>
        </w:rPr>
        <w:t>市、</w:t>
      </w:r>
      <w:r>
        <w:rPr>
          <w:rFonts w:hint="eastAsia" w:ascii="仿宋_GB2312" w:hAnsi="Calibri" w:eastAsia="仿宋_GB2312"/>
          <w:kern w:val="0"/>
          <w:sz w:val="32"/>
          <w:szCs w:val="32"/>
          <w:lang w:val="en-US" w:eastAsia="zh-CN" w:bidi="ar"/>
        </w:rPr>
        <w:t>县（市、区）人民政府应当将矛盾纠纷预防和化解工作纳入</w:t>
      </w:r>
      <w:r>
        <w:rPr>
          <w:rFonts w:hint="eastAsia" w:ascii="仿宋_GB2312" w:eastAsia="仿宋_GB2312"/>
          <w:kern w:val="0"/>
          <w:sz w:val="32"/>
          <w:szCs w:val="32"/>
          <w:lang w:val="en-US" w:eastAsia="zh-CN" w:bidi="ar"/>
        </w:rPr>
        <w:t>本行政区域</w:t>
      </w:r>
      <w:r>
        <w:rPr>
          <w:rFonts w:hint="eastAsia" w:ascii="仿宋_GB2312" w:hAnsi="Calibri" w:eastAsia="仿宋_GB2312"/>
          <w:kern w:val="0"/>
          <w:sz w:val="32"/>
          <w:szCs w:val="32"/>
          <w:lang w:val="en-US" w:eastAsia="zh-CN" w:bidi="ar"/>
        </w:rPr>
        <w:t>法治政府建设规划，组织协调和督促相关部门落实多元化解矛盾纠纷工作职责</w:t>
      </w:r>
      <w:r>
        <w:rPr>
          <w:rFonts w:hint="eastAsia" w:ascii="仿宋_GB2312" w:eastAsia="仿宋_GB2312"/>
          <w:kern w:val="0"/>
          <w:sz w:val="32"/>
          <w:szCs w:val="32"/>
          <w:lang w:val="en-US" w:eastAsia="zh-CN" w:bidi="ar"/>
        </w:rPr>
        <w:t>，加强</w:t>
      </w:r>
      <w:r>
        <w:rPr>
          <w:rFonts w:hint="eastAsia" w:ascii="仿宋_GB2312" w:hAnsi="Calibri" w:eastAsia="仿宋_GB2312"/>
          <w:kern w:val="0"/>
          <w:sz w:val="32"/>
          <w:szCs w:val="32"/>
          <w:lang w:val="en-US" w:eastAsia="zh-CN" w:bidi="ar"/>
        </w:rPr>
        <w:t>预防和化解矛盾纠纷能力建设和经费保障</w:t>
      </w:r>
      <w:r>
        <w:rPr>
          <w:rFonts w:hint="eastAsia" w:ascii="仿宋_GB2312" w:eastAsia="仿宋_GB2312"/>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kern w:val="0"/>
          <w:sz w:val="32"/>
          <w:szCs w:val="32"/>
          <w:lang w:val="en-US" w:eastAsia="zh-CN" w:bidi="ar"/>
        </w:rPr>
      </w:pPr>
      <w:r>
        <w:rPr>
          <w:rFonts w:hint="eastAsia" w:ascii="仿宋_GB2312" w:eastAsia="仿宋_GB2312"/>
          <w:kern w:val="0"/>
          <w:sz w:val="32"/>
          <w:szCs w:val="32"/>
          <w:lang w:val="en-US" w:eastAsia="zh-CN" w:bidi="ar"/>
        </w:rPr>
        <w:t>乡镇人民政府、街道办事处</w:t>
      </w:r>
      <w:r>
        <w:rPr>
          <w:rFonts w:hint="eastAsia" w:ascii="仿宋_GB2312" w:eastAsia="仿宋_GB2312"/>
          <w:color w:val="000000"/>
          <w:kern w:val="0"/>
          <w:sz w:val="32"/>
          <w:szCs w:val="32"/>
          <w:lang w:val="en-US" w:eastAsia="zh-CN" w:bidi="ar"/>
        </w:rPr>
        <w:t>应当坚持权责统一和属地管理，建立健全矛盾纠纷排查调处工作协调会议机制，定期组织党员、专职人民调解员、网格员、志愿者、村（社区）工作者等开展矛盾纠纷排查。</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第五条</w:t>
      </w:r>
      <w:r>
        <w:rPr>
          <w:rFonts w:hint="eastAsia" w:ascii="黑体" w:hAnsi="黑体" w:eastAsia="黑体"/>
          <w:color w:val="000000"/>
          <w:sz w:val="32"/>
          <w:szCs w:val="32"/>
        </w:rPr>
        <w:t>【</w:t>
      </w:r>
      <w:r>
        <w:rPr>
          <w:rFonts w:hint="eastAsia" w:ascii="黑体" w:hAnsi="黑体" w:eastAsia="黑体"/>
          <w:color w:val="000000"/>
          <w:sz w:val="32"/>
          <w:szCs w:val="32"/>
          <w:lang w:eastAsia="zh-CN"/>
        </w:rPr>
        <w:t>社会氛围营造</w:t>
      </w:r>
      <w:r>
        <w:rPr>
          <w:rFonts w:hint="eastAsia" w:ascii="黑体" w:hAnsi="黑体" w:eastAsia="黑体"/>
          <w:color w:val="000000"/>
          <w:sz w:val="32"/>
          <w:szCs w:val="32"/>
        </w:rPr>
        <w:t>】</w:t>
      </w:r>
      <w:r>
        <w:rPr>
          <w:rFonts w:hint="eastAsia" w:ascii="黑体" w:hAnsi="宋体" w:eastAsia="黑体"/>
          <w:b w:val="0"/>
          <w:i w:val="0"/>
          <w:color w:val="000000"/>
          <w:spacing w:val="0"/>
          <w:sz w:val="32"/>
          <w:szCs w:val="32"/>
          <w:shd w:val="clear" w:color="auto" w:fill="FFFFFF"/>
        </w:rPr>
        <w:t>  </w:t>
      </w:r>
      <w:r>
        <w:rPr>
          <w:rFonts w:hint="eastAsia" w:ascii="仿宋_GB2312" w:hAnsi="仿宋_GB2312" w:eastAsia="仿宋_GB2312"/>
          <w:color w:val="000000"/>
          <w:sz w:val="32"/>
          <w:szCs w:val="32"/>
          <w:lang w:eastAsia="zh-CN"/>
        </w:rPr>
        <w:t>行政机关、人民团体、企业事业单位、基层群众性自治组织以及新闻媒体等应当按照各自职责加强法治和诚信理念宣传教育</w:t>
      </w:r>
      <w:r>
        <w:rPr>
          <w:rFonts w:hint="eastAsia" w:ascii="宋体" w:hAnsi="宋体" w:eastAsia="宋体"/>
          <w:i w:val="0"/>
          <w:color w:val="333333"/>
          <w:spacing w:val="0"/>
          <w:sz w:val="32"/>
          <w:szCs w:val="32"/>
          <w:shd w:val="clear" w:color="auto" w:fill="FFFFFF"/>
        </w:rPr>
        <w:t>，</w:t>
      </w:r>
      <w:r>
        <w:rPr>
          <w:rFonts w:hint="eastAsia" w:ascii="仿宋_GB2312" w:hAnsi="仿宋_GB2312" w:eastAsia="仿宋_GB2312"/>
          <w:color w:val="000000"/>
          <w:sz w:val="32"/>
          <w:szCs w:val="32"/>
          <w:lang w:eastAsia="zh-CN"/>
        </w:rPr>
        <w:t>弘扬社会主义核心价值观和</w:t>
      </w:r>
      <w:r>
        <w:rPr>
          <w:rFonts w:hint="eastAsia" w:ascii="仿宋_GB2312" w:hAnsi="仿宋_GB2312" w:eastAsia="仿宋_GB2312"/>
          <w:i w:val="0"/>
          <w:iCs w:val="0"/>
          <w:spacing w:val="0"/>
          <w:kern w:val="0"/>
          <w:sz w:val="32"/>
          <w:szCs w:val="32"/>
          <w:shd w:val="clear" w:color="auto" w:fill="FFFFFF"/>
          <w:lang w:val="en-US" w:eastAsia="zh-CN" w:bidi="ar"/>
        </w:rPr>
        <w:t>中华优秀传统文化</w:t>
      </w:r>
      <w:r>
        <w:rPr>
          <w:rFonts w:hint="eastAsia" w:ascii="仿宋_GB2312" w:hAnsi="仿宋_GB2312" w:eastAsia="仿宋_GB2312"/>
          <w:color w:val="000000"/>
          <w:sz w:val="32"/>
          <w:szCs w:val="32"/>
          <w:lang w:eastAsia="zh-CN"/>
        </w:rPr>
        <w:t>，引导公民自觉尊法学法守法用法，尊重公序良俗，理性表达诉求，维护合法权益，</w:t>
      </w:r>
      <w:r>
        <w:rPr>
          <w:rFonts w:ascii="仿宋_GB2312" w:hAnsi="仿宋_GB2312" w:eastAsia="仿宋_GB2312"/>
          <w:color w:val="000000"/>
          <w:sz w:val="32"/>
          <w:szCs w:val="32"/>
          <w:lang w:eastAsia="zh-CN"/>
        </w:rPr>
        <w:t>自觉履行法定义务、社会责任、家庭责任。</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第六条</w:t>
      </w:r>
      <w:r>
        <w:rPr>
          <w:rFonts w:hint="eastAsia" w:ascii="黑体" w:hAnsi="黑体" w:eastAsia="黑体"/>
          <w:color w:val="000000"/>
          <w:sz w:val="32"/>
          <w:szCs w:val="32"/>
        </w:rPr>
        <w:t>【</w:t>
      </w:r>
      <w:r>
        <w:rPr>
          <w:rFonts w:hint="eastAsia" w:ascii="黑体" w:hAnsi="黑体" w:eastAsia="黑体"/>
          <w:color w:val="000000"/>
          <w:sz w:val="32"/>
          <w:szCs w:val="32"/>
          <w:lang w:eastAsia="zh-CN"/>
        </w:rPr>
        <w:t>依法行政</w:t>
      </w:r>
      <w:r>
        <w:rPr>
          <w:rFonts w:hint="eastAsia" w:ascii="黑体" w:hAnsi="黑体" w:eastAsia="黑体"/>
          <w:color w:val="000000"/>
          <w:sz w:val="32"/>
          <w:szCs w:val="32"/>
        </w:rPr>
        <w:t>】</w:t>
      </w:r>
      <w:r>
        <w:rPr>
          <w:rFonts w:hint="eastAsia" w:ascii="黑体" w:hAnsi="宋体" w:eastAsia="黑体"/>
          <w:b w:val="0"/>
          <w:i w:val="0"/>
          <w:color w:val="000000"/>
          <w:spacing w:val="0"/>
          <w:sz w:val="32"/>
          <w:szCs w:val="32"/>
          <w:shd w:val="clear" w:color="auto" w:fill="FFFFFF"/>
        </w:rPr>
        <w:t>  </w:t>
      </w:r>
      <w:r>
        <w:rPr>
          <w:rFonts w:hint="eastAsia" w:ascii="仿宋_GB2312" w:hAnsi="仿宋_GB2312" w:eastAsia="仿宋_GB2312"/>
          <w:color w:val="000000"/>
          <w:sz w:val="32"/>
          <w:szCs w:val="32"/>
          <w:lang w:eastAsia="zh-CN"/>
        </w:rPr>
        <w:t>市、县（市、区）人民政府及有关部门</w:t>
      </w:r>
      <w:r>
        <w:rPr>
          <w:rFonts w:hint="eastAsia" w:ascii="仿宋_GB2312" w:hAnsi="仿宋_GB2312" w:eastAsia="仿宋_GB2312"/>
          <w:color w:val="000000"/>
          <w:sz w:val="32"/>
          <w:szCs w:val="32"/>
          <w:lang w:val="en-US" w:eastAsia="zh-CN"/>
        </w:rPr>
        <w:t>、乡镇人民政府、街道办事处等</w:t>
      </w:r>
      <w:r>
        <w:rPr>
          <w:rFonts w:hint="eastAsia" w:ascii="仿宋_GB2312" w:hAnsi="仿宋_GB2312" w:eastAsia="仿宋_GB2312"/>
          <w:color w:val="000000"/>
          <w:sz w:val="32"/>
          <w:szCs w:val="32"/>
          <w:lang w:eastAsia="zh-CN"/>
        </w:rPr>
        <w:t>应当坚持源头治理，将矛盾纠纷预防贯穿于行政决策、行政管理、行政执法等全过程，加强政务诚信建设，提高执法公信力，预防和减少矛盾纠纷的产生。</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第七条</w:t>
      </w:r>
      <w:r>
        <w:rPr>
          <w:rFonts w:hint="eastAsia" w:ascii="黑体" w:hAnsi="黑体" w:eastAsia="黑体"/>
          <w:color w:val="000000"/>
          <w:sz w:val="32"/>
          <w:szCs w:val="32"/>
        </w:rPr>
        <w:t>【</w:t>
      </w:r>
      <w:r>
        <w:rPr>
          <w:rFonts w:hint="eastAsia" w:ascii="黑体" w:hAnsi="黑体" w:eastAsia="黑体"/>
          <w:color w:val="000000"/>
          <w:sz w:val="32"/>
          <w:szCs w:val="32"/>
          <w:lang w:eastAsia="zh-CN"/>
        </w:rPr>
        <w:t>依法决策</w:t>
      </w:r>
      <w:r>
        <w:rPr>
          <w:rFonts w:hint="eastAsia" w:ascii="黑体" w:hAnsi="黑体" w:eastAsia="黑体"/>
          <w:color w:val="000000"/>
          <w:sz w:val="32"/>
          <w:szCs w:val="32"/>
        </w:rPr>
        <w:t>】</w:t>
      </w:r>
      <w:r>
        <w:rPr>
          <w:rFonts w:hint="eastAsia" w:ascii="黑体" w:hAnsi="宋体" w:eastAsia="黑体"/>
          <w:b w:val="0"/>
          <w:i w:val="0"/>
          <w:color w:val="000000"/>
          <w:spacing w:val="0"/>
          <w:sz w:val="32"/>
          <w:szCs w:val="32"/>
          <w:shd w:val="clear" w:color="auto" w:fill="FFFFFF"/>
        </w:rPr>
        <w:t>  </w:t>
      </w:r>
      <w:r>
        <w:rPr>
          <w:rFonts w:hint="eastAsia" w:ascii="仿宋_GB2312" w:hAnsi="仿宋_GB2312" w:eastAsia="仿宋_GB2312"/>
          <w:color w:val="000000"/>
          <w:sz w:val="32"/>
          <w:szCs w:val="32"/>
          <w:lang w:eastAsia="zh-CN"/>
        </w:rPr>
        <w:t>市、县（市、区）人民政府及有关部门</w:t>
      </w:r>
      <w:r>
        <w:rPr>
          <w:rFonts w:hint="eastAsia" w:ascii="仿宋_GB2312" w:hAnsi="仿宋_GB2312" w:eastAsia="仿宋_GB2312"/>
          <w:color w:val="000000"/>
          <w:sz w:val="32"/>
          <w:szCs w:val="32"/>
          <w:lang w:val="en-US" w:eastAsia="zh-CN"/>
        </w:rPr>
        <w:t>、乡镇人民政府、街道办事处等</w:t>
      </w:r>
      <w:r>
        <w:rPr>
          <w:rFonts w:hint="eastAsia" w:ascii="仿宋_GB2312" w:hAnsi="仿宋_GB2312" w:eastAsia="仿宋_GB2312"/>
          <w:color w:val="000000"/>
          <w:sz w:val="32"/>
          <w:szCs w:val="32"/>
          <w:lang w:eastAsia="zh-CN"/>
        </w:rPr>
        <w:t>在行政决策时，应当严格依照法定权限和程序进行，对拟作出的重大行政决策、行政规范性文件、行政协议等，应当进行合法性审查。</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kern w:val="0"/>
          <w:sz w:val="32"/>
          <w:szCs w:val="32"/>
          <w:lang w:val="en-US" w:eastAsia="zh-CN" w:bidi="ar"/>
        </w:rPr>
      </w:pPr>
      <w:r>
        <w:rPr>
          <w:rFonts w:hint="eastAsia" w:ascii="仿宋_GB2312" w:eastAsia="仿宋_GB2312"/>
          <w:kern w:val="0"/>
          <w:sz w:val="32"/>
          <w:szCs w:val="32"/>
          <w:lang w:val="en-US" w:eastAsia="zh-CN" w:bidi="ar"/>
        </w:rPr>
        <w:t>对经济社会发展有重大影响、涉及重大公共利益或者社会公众切身利益，可能对社会稳定、公共安全等方面造成不利影响的重大行政决策，</w:t>
      </w:r>
      <w:r>
        <w:rPr>
          <w:rFonts w:hint="eastAsia" w:ascii="仿宋_GB2312" w:hAnsi="仿宋_GB2312" w:eastAsia="仿宋_GB2312"/>
          <w:color w:val="000000"/>
          <w:sz w:val="32"/>
          <w:szCs w:val="32"/>
          <w:lang w:eastAsia="zh-CN"/>
        </w:rPr>
        <w:t>应当依法组织公众参与、专家论证、风险评估、合法性审查和集体讨论决定，</w:t>
      </w:r>
      <w:r>
        <w:rPr>
          <w:rFonts w:hint="eastAsia" w:ascii="仿宋_GB2312" w:eastAsia="仿宋_GB2312"/>
          <w:kern w:val="0"/>
          <w:sz w:val="32"/>
          <w:szCs w:val="32"/>
          <w:lang w:val="en-US" w:eastAsia="zh-CN" w:bidi="ar"/>
        </w:rPr>
        <w:t>开展事前社会稳定风险评估，</w:t>
      </w:r>
      <w:r>
        <w:rPr>
          <w:rFonts w:hint="eastAsia" w:ascii="仿宋_GB2312" w:hAnsi="仿宋_GB2312" w:eastAsia="仿宋_GB2312"/>
          <w:color w:val="000000"/>
          <w:sz w:val="32"/>
          <w:szCs w:val="32"/>
          <w:lang w:eastAsia="zh-CN"/>
        </w:rPr>
        <w:t>明确风险点并提出风险防范措施和处置预案。</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kern w:val="0"/>
          <w:sz w:val="32"/>
          <w:szCs w:val="32"/>
          <w:lang w:val="en-US" w:eastAsia="zh-CN" w:bidi="ar"/>
        </w:rPr>
      </w:pPr>
      <w:r>
        <w:rPr>
          <w:rFonts w:hint="eastAsia" w:ascii="黑体" w:hAnsi="黑体" w:eastAsia="黑体"/>
          <w:kern w:val="0"/>
          <w:sz w:val="32"/>
          <w:szCs w:val="32"/>
          <w:lang w:val="en-US" w:eastAsia="zh-CN" w:bidi="ar"/>
        </w:rPr>
        <w:t>第八条</w:t>
      </w:r>
      <w:r>
        <w:rPr>
          <w:rFonts w:hint="eastAsia" w:ascii="黑体" w:hAnsi="黑体" w:eastAsia="黑体"/>
          <w:color w:val="000000"/>
          <w:sz w:val="32"/>
          <w:szCs w:val="32"/>
        </w:rPr>
        <w:t>【</w:t>
      </w:r>
      <w:r>
        <w:rPr>
          <w:rFonts w:hint="eastAsia" w:ascii="黑体" w:hAnsi="黑体" w:eastAsia="黑体"/>
          <w:color w:val="000000"/>
          <w:sz w:val="32"/>
          <w:szCs w:val="32"/>
          <w:lang w:eastAsia="zh-CN"/>
        </w:rPr>
        <w:t>规范行政执法</w:t>
      </w:r>
      <w:r>
        <w:rPr>
          <w:rFonts w:hint="eastAsia" w:ascii="黑体" w:hAnsi="黑体" w:eastAsia="黑体"/>
          <w:color w:val="000000"/>
          <w:sz w:val="32"/>
          <w:szCs w:val="32"/>
        </w:rPr>
        <w:t>】</w:t>
      </w:r>
      <w:r>
        <w:rPr>
          <w:rFonts w:hint="eastAsia" w:ascii="仿宋_GB2312" w:eastAsia="仿宋_GB2312"/>
          <w:color w:val="FF0000"/>
          <w:sz w:val="32"/>
          <w:szCs w:val="32"/>
        </w:rPr>
        <w:t xml:space="preserve">  </w:t>
      </w:r>
      <w:r>
        <w:rPr>
          <w:rFonts w:hint="eastAsia" w:ascii="仿宋_GB2312" w:hAnsi="仿宋_GB2312" w:eastAsia="仿宋_GB2312"/>
          <w:color w:val="000000"/>
          <w:sz w:val="32"/>
          <w:szCs w:val="32"/>
          <w:lang w:eastAsia="zh-CN"/>
        </w:rPr>
        <w:t>行政执法机关应当严格规范公正文明执法，推广应用省一体化大融合行政执法平台，注重在执法过程中释法析理，全面推行行政执法公示制度、执法全过程记录制度、重大执法决定法制审核制度，加强行政执法监督，依法及时纠正下级违法或者不当的行政执法行为，防止转化为行政争议。</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第九条</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加强行政管理</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auto"/>
          <w:sz w:val="32"/>
          <w:szCs w:val="32"/>
          <w:lang w:val="en-US" w:eastAsia="zh-CN"/>
        </w:rPr>
        <w:t>有关行政主管部门应当加大对物业服务、消费者权益保护、劳动保障、道路交通事故、医疗事故、杂交水稻种子生产等纠</w:t>
      </w:r>
      <w:r>
        <w:rPr>
          <w:rFonts w:hint="eastAsia" w:ascii="仿宋_GB2312" w:hAnsi="仿宋_GB2312" w:eastAsia="仿宋_GB2312"/>
          <w:color w:val="000000"/>
          <w:sz w:val="32"/>
          <w:szCs w:val="32"/>
          <w:lang w:val="en-US" w:eastAsia="zh-CN"/>
        </w:rPr>
        <w:t>纷多发领域的监管力度，加强行政指导和联合执法，推动相关行业领域规范管理，预防和减少矛盾纠纷发生。</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第十条</w:t>
      </w:r>
      <w:r>
        <w:rPr>
          <w:rFonts w:hint="eastAsia" w:ascii="黑体" w:hAnsi="黑体" w:eastAsia="黑体"/>
          <w:color w:val="000000"/>
          <w:sz w:val="32"/>
          <w:szCs w:val="32"/>
        </w:rPr>
        <w:t>【</w:t>
      </w:r>
      <w:r>
        <w:rPr>
          <w:rFonts w:hint="eastAsia" w:ascii="黑体" w:hAnsi="黑体" w:eastAsia="黑体"/>
          <w:color w:val="000000"/>
          <w:sz w:val="32"/>
          <w:szCs w:val="32"/>
          <w:lang w:eastAsia="zh-CN"/>
        </w:rPr>
        <w:t>专业人员</w:t>
      </w:r>
      <w:r>
        <w:rPr>
          <w:rFonts w:hint="eastAsia" w:ascii="黑体" w:hAnsi="黑体" w:eastAsia="黑体"/>
          <w:color w:val="000000"/>
          <w:sz w:val="32"/>
          <w:szCs w:val="32"/>
          <w:lang w:val="en-US" w:eastAsia="zh-CN"/>
        </w:rPr>
        <w:t>提前介入</w:t>
      </w:r>
      <w:r>
        <w:rPr>
          <w:rFonts w:hint="eastAsia" w:ascii="黑体" w:hAnsi="黑体" w:eastAsia="黑体"/>
          <w:color w:val="000000"/>
          <w:sz w:val="32"/>
          <w:szCs w:val="32"/>
        </w:rPr>
        <w:t>】</w:t>
      </w:r>
      <w:r>
        <w:rPr>
          <w:rFonts w:hint="eastAsia" w:ascii="仿宋_GB2312" w:eastAsia="仿宋_GB2312"/>
          <w:color w:val="FF0000"/>
          <w:sz w:val="32"/>
          <w:szCs w:val="32"/>
        </w:rPr>
        <w:t xml:space="preserve">  </w:t>
      </w:r>
      <w:r>
        <w:rPr>
          <w:rFonts w:hint="eastAsia" w:ascii="仿宋_GB2312" w:hAnsi="仿宋_GB2312" w:eastAsia="仿宋_GB2312"/>
          <w:color w:val="000000"/>
          <w:sz w:val="32"/>
          <w:szCs w:val="32"/>
          <w:lang w:eastAsia="zh-CN"/>
        </w:rPr>
        <w:t>市、县（市、区）人民政府及有关部门</w:t>
      </w:r>
      <w:r>
        <w:rPr>
          <w:rFonts w:hint="eastAsia" w:ascii="仿宋_GB2312" w:hAnsi="仿宋_GB2312" w:eastAsia="仿宋_GB2312"/>
          <w:color w:val="000000"/>
          <w:sz w:val="32"/>
          <w:szCs w:val="32"/>
          <w:lang w:val="en-US" w:eastAsia="zh-CN"/>
        </w:rPr>
        <w:t>、乡镇人民政府、街道办事处等</w:t>
      </w:r>
      <w:r>
        <w:rPr>
          <w:rFonts w:hint="eastAsia" w:ascii="仿宋_GB2312" w:hAnsi="仿宋_GB2312" w:eastAsia="仿宋_GB2312"/>
          <w:color w:val="000000"/>
          <w:sz w:val="32"/>
          <w:szCs w:val="32"/>
          <w:lang w:eastAsia="zh-CN"/>
        </w:rPr>
        <w:t>应当</w:t>
      </w:r>
      <w:r>
        <w:rPr>
          <w:rFonts w:hint="eastAsia" w:ascii="仿宋_GB2312" w:hAnsi="仿宋_GB2312" w:eastAsia="仿宋_GB2312"/>
          <w:color w:val="000000"/>
          <w:sz w:val="32"/>
          <w:szCs w:val="32"/>
          <w:lang w:val="en-US" w:eastAsia="zh-CN"/>
        </w:rPr>
        <w:t>充分发挥法学会首席法律咨询专家、公职律师、法律顾问等在矛盾纠纷预防中的积极作用，委托其提前介入重大行政决策、重大项目、重大合同审查</w:t>
      </w:r>
      <w:r>
        <w:rPr>
          <w:rFonts w:hint="eastAsia" w:ascii="仿宋_GB2312" w:hAnsi="仿宋_GB2312" w:eastAsia="仿宋_GB2312"/>
          <w:color w:val="000000"/>
          <w:sz w:val="32"/>
          <w:szCs w:val="32"/>
          <w:lang w:eastAsia="zh-CN"/>
        </w:rPr>
        <w:t>，参与矛盾纠纷多元化解等工作，提出法律意见和建议。</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法律顾问发现村（社区）在管理服务活动中存在法律风险的，应当及时提出法律意见和建议。</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第十一条</w:t>
      </w:r>
      <w:r>
        <w:rPr>
          <w:rFonts w:hint="eastAsia" w:ascii="黑体" w:hAnsi="黑体" w:eastAsia="黑体"/>
          <w:color w:val="000000"/>
          <w:sz w:val="32"/>
          <w:szCs w:val="32"/>
        </w:rPr>
        <w:t>【</w:t>
      </w:r>
      <w:r>
        <w:rPr>
          <w:rFonts w:hint="eastAsia" w:ascii="黑体" w:hAnsi="黑体" w:eastAsia="黑体"/>
          <w:color w:val="000000"/>
          <w:sz w:val="32"/>
          <w:szCs w:val="32"/>
          <w:lang w:eastAsia="zh-CN"/>
        </w:rPr>
        <w:t>公证活动预防</w:t>
      </w:r>
      <w:r>
        <w:rPr>
          <w:rFonts w:hint="eastAsia" w:ascii="黑体" w:hAnsi="黑体" w:eastAsia="黑体"/>
          <w:color w:val="000000"/>
          <w:sz w:val="32"/>
          <w:szCs w:val="32"/>
        </w:rPr>
        <w:t>】</w:t>
      </w:r>
      <w:r>
        <w:rPr>
          <w:rFonts w:hint="eastAsia" w:ascii="仿宋_GB2312" w:eastAsia="仿宋_GB2312"/>
          <w:color w:val="FF0000"/>
          <w:sz w:val="32"/>
          <w:szCs w:val="32"/>
        </w:rPr>
        <w:t xml:space="preserve">  </w:t>
      </w:r>
      <w:r>
        <w:rPr>
          <w:rFonts w:hint="eastAsia" w:ascii="仿宋_GB2312" w:eastAsia="仿宋_GB2312"/>
          <w:color w:val="000000"/>
          <w:sz w:val="32"/>
          <w:szCs w:val="32"/>
          <w:lang w:eastAsia="zh-CN"/>
        </w:rPr>
        <w:t>鼓励</w:t>
      </w:r>
      <w:r>
        <w:rPr>
          <w:rFonts w:hint="eastAsia" w:ascii="仿宋_GB2312" w:hAnsi="仿宋_GB2312" w:eastAsia="仿宋_GB2312"/>
          <w:color w:val="000000"/>
          <w:sz w:val="32"/>
          <w:szCs w:val="32"/>
          <w:lang w:eastAsia="zh-CN"/>
        </w:rPr>
        <w:t>公证机构在</w:t>
      </w:r>
      <w:r>
        <w:rPr>
          <w:rFonts w:hint="eastAsia" w:ascii="仿宋_GB2312" w:hAnsi="仿宋_GB2312" w:eastAsia="仿宋_GB2312"/>
          <w:color w:val="000000"/>
          <w:sz w:val="32"/>
          <w:szCs w:val="32"/>
          <w:lang w:val="en-US" w:eastAsia="zh-CN"/>
        </w:rPr>
        <w:t>家事、商事、金融等领域开展公证活动或者调解服务，</w:t>
      </w:r>
      <w:r>
        <w:rPr>
          <w:rFonts w:hint="eastAsia" w:ascii="仿宋_GB2312" w:hAnsi="仿宋_GB2312" w:eastAsia="仿宋_GB2312"/>
          <w:color w:val="000000"/>
          <w:sz w:val="32"/>
          <w:szCs w:val="32"/>
          <w:lang w:eastAsia="zh-CN"/>
        </w:rPr>
        <w:t>支持公证机构参与行政执法、行政管理辅助性事务。</w:t>
      </w:r>
    </w:p>
    <w:p>
      <w:pPr>
        <w:pStyle w:val="11"/>
        <w:keepNext w:val="0"/>
        <w:keepLines w:val="0"/>
        <w:pageBreakBefore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金融监督管理部门可以引导金融机构在签订债权文书时引入公证法律服务，发挥公证债权文书在预防金融纠纷的积极作用。</w:t>
      </w:r>
    </w:p>
    <w:p>
      <w:pPr>
        <w:pStyle w:val="11"/>
        <w:keepNext w:val="0"/>
        <w:keepLines w:val="0"/>
        <w:pageBreakBefore w:val="0"/>
        <w:kinsoku/>
        <w:wordWrap/>
        <w:overflowPunct/>
        <w:topLinePunct w:val="0"/>
        <w:autoSpaceDE/>
        <w:autoSpaceDN/>
        <w:bidi w:val="0"/>
        <w:adjustRightInd/>
        <w:snapToGrid/>
        <w:spacing w:after="0"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第十二条</w:t>
      </w:r>
      <w:r>
        <w:rPr>
          <w:rFonts w:hint="eastAsia" w:ascii="黑体" w:hAnsi="黑体" w:eastAsia="黑体"/>
          <w:color w:val="000000"/>
          <w:sz w:val="32"/>
          <w:szCs w:val="32"/>
        </w:rPr>
        <w:t>【</w:t>
      </w:r>
      <w:r>
        <w:rPr>
          <w:rFonts w:hint="eastAsia" w:ascii="黑体" w:hAnsi="黑体" w:eastAsia="黑体"/>
          <w:color w:val="000000"/>
          <w:sz w:val="32"/>
          <w:szCs w:val="32"/>
          <w:lang w:eastAsia="zh-CN"/>
        </w:rPr>
        <w:t>心理疏导</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eastAsia="zh-CN"/>
        </w:rPr>
        <w:t>卫生健康、教育、民政、人力资源和社会保障等主管部门应当会同</w:t>
      </w:r>
      <w:r>
        <w:rPr>
          <w:rFonts w:hint="eastAsia" w:ascii="仿宋_GB2312" w:eastAsia="仿宋_GB2312"/>
          <w:kern w:val="0"/>
          <w:sz w:val="32"/>
          <w:szCs w:val="32"/>
          <w:lang w:val="en-US" w:eastAsia="zh-CN" w:bidi="ar"/>
        </w:rPr>
        <w:t>工会、共产主义青年团、妇女联合会等</w:t>
      </w:r>
      <w:r>
        <w:rPr>
          <w:rFonts w:hint="eastAsia" w:ascii="仿宋_GB2312" w:hAnsi="仿宋_GB2312" w:eastAsia="仿宋_GB2312"/>
          <w:color w:val="000000"/>
          <w:sz w:val="32"/>
          <w:szCs w:val="32"/>
          <w:lang w:eastAsia="zh-CN"/>
        </w:rPr>
        <w:t>人民团体、社会组织、专业医疗服务机构等，搭建社会心理健康服务平台，</w:t>
      </w:r>
      <w:r>
        <w:rPr>
          <w:rFonts w:hint="eastAsia" w:ascii="仿宋_GB2312" w:hAnsi="仿宋_GB2312" w:eastAsia="仿宋_GB2312"/>
          <w:color w:val="000000"/>
          <w:sz w:val="32"/>
          <w:szCs w:val="32"/>
          <w:lang w:val="en-US" w:eastAsia="zh-CN"/>
        </w:rPr>
        <w:t>建立和完善心理健康教育、心理热线服务、心理咨询、心理治疗等心理危机干预和心理援助服务模式，畅通青少年、农村留守人员、失业、重病、受灾、孤寡等重点人群情绪表达渠道，有针对性地开展心理健康服务。</w:t>
      </w:r>
    </w:p>
    <w:p>
      <w:pPr>
        <w:pStyle w:val="11"/>
        <w:keepNext w:val="0"/>
        <w:keepLines w:val="0"/>
        <w:pageBreakBefore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鼓励设立心理工作室，引入心理咨询师参与矛盾纠纷预防和化解工作，为当事人提供专业的心理辅导、情绪疏解、家庭关系调适等心理疏导服务，防范化解因心理问题引发的纠纷。</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第十三条</w:t>
      </w:r>
      <w:r>
        <w:rPr>
          <w:rFonts w:hint="eastAsia" w:ascii="黑体" w:hAnsi="黑体" w:eastAsia="黑体"/>
          <w:color w:val="000000"/>
          <w:sz w:val="32"/>
          <w:szCs w:val="32"/>
        </w:rPr>
        <w:t>【</w:t>
      </w:r>
      <w:r>
        <w:rPr>
          <w:rFonts w:hint="eastAsia" w:ascii="黑体" w:hAnsi="黑体" w:eastAsia="黑体"/>
          <w:color w:val="000000"/>
          <w:sz w:val="32"/>
          <w:szCs w:val="32"/>
          <w:lang w:eastAsia="zh-CN"/>
        </w:rPr>
        <w:t>加强排查预警</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kern w:val="2"/>
          <w:sz w:val="32"/>
          <w:szCs w:val="32"/>
          <w:lang w:val="en-US" w:eastAsia="zh-CN" w:bidi="ar-SA"/>
        </w:rPr>
        <w:t>市、</w:t>
      </w:r>
      <w:r>
        <w:rPr>
          <w:rFonts w:hint="eastAsia" w:ascii="仿宋_GB2312" w:hAnsi="仿宋_GB2312" w:eastAsia="仿宋_GB2312"/>
          <w:color w:val="000000"/>
          <w:sz w:val="32"/>
          <w:szCs w:val="32"/>
          <w:lang w:eastAsia="zh-CN"/>
        </w:rPr>
        <w:t>县（市、区）人民政府及有关部门</w:t>
      </w:r>
      <w:r>
        <w:rPr>
          <w:rFonts w:hint="eastAsia" w:ascii="仿宋_GB2312" w:hAnsi="仿宋_GB2312" w:eastAsia="仿宋_GB2312"/>
          <w:color w:val="000000"/>
          <w:sz w:val="32"/>
          <w:szCs w:val="32"/>
          <w:lang w:val="en-US" w:eastAsia="zh-CN"/>
        </w:rPr>
        <w:t>、乡镇人民政府、街道办事处等</w:t>
      </w:r>
      <w:r>
        <w:rPr>
          <w:rFonts w:hint="eastAsia" w:ascii="仿宋_GB2312" w:hAnsi="仿宋_GB2312" w:eastAsia="仿宋_GB2312"/>
          <w:color w:val="000000"/>
          <w:sz w:val="32"/>
          <w:szCs w:val="32"/>
          <w:lang w:eastAsia="zh-CN"/>
        </w:rPr>
        <w:t>应当</w:t>
      </w:r>
      <w:r>
        <w:rPr>
          <w:rFonts w:hint="eastAsia" w:ascii="仿宋_GB2312" w:eastAsia="仿宋_GB2312"/>
          <w:kern w:val="0"/>
          <w:sz w:val="32"/>
          <w:szCs w:val="32"/>
          <w:lang w:val="en-US" w:eastAsia="zh-CN" w:bidi="ar"/>
        </w:rPr>
        <w:t>全面落实“四下基层”制度，建立健全矛盾纠纷排查预警制度，对排查发现的线索及时报告、稳妥处置</w:t>
      </w:r>
      <w:r>
        <w:rPr>
          <w:rFonts w:hint="eastAsia" w:ascii="仿宋_GB2312" w:hAnsi="仿宋_GB2312" w:eastAsia="仿宋_GB2312"/>
          <w:color w:val="000000"/>
          <w:sz w:val="32"/>
          <w:szCs w:val="32"/>
          <w:lang w:eastAsia="zh-CN"/>
        </w:rPr>
        <w:t>；畅通群众投诉举报、反映问题的渠道，认真处理来信、来电、来访、网上信访，加强分析研判和结果运用</w:t>
      </w:r>
      <w:r>
        <w:rPr>
          <w:rFonts w:hint="eastAsia" w:ascii="仿宋_GB2312" w:eastAsia="仿宋_GB2312"/>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cs="Times New Roman"/>
          <w:kern w:val="0"/>
          <w:sz w:val="32"/>
          <w:szCs w:val="32"/>
          <w:lang w:val="en-US" w:eastAsia="zh-CN" w:bidi="ar"/>
        </w:rPr>
      </w:pPr>
      <w:r>
        <w:rPr>
          <w:rFonts w:hint="eastAsia" w:ascii="仿宋_GB2312" w:eastAsia="仿宋_GB2312" w:cs="Times New Roman"/>
          <w:kern w:val="0"/>
          <w:sz w:val="32"/>
          <w:szCs w:val="32"/>
          <w:lang w:val="en-US" w:eastAsia="zh-CN" w:bidi="ar"/>
        </w:rPr>
        <w:t>相关单位排查走访发现群众有需要法律咨询、代理等法律援助服务的，应当告知当事人“12348”公共法律服务热线、“e三明”在线法律咨询、公共法律服务中心依法申请等途径。</w:t>
      </w:r>
    </w:p>
    <w:p>
      <w:pPr>
        <w:pStyle w:val="11"/>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第十四条</w:t>
      </w:r>
      <w:r>
        <w:rPr>
          <w:rFonts w:hint="eastAsia" w:ascii="黑体" w:hAnsi="黑体" w:eastAsia="黑体"/>
          <w:color w:val="000000"/>
          <w:sz w:val="32"/>
          <w:szCs w:val="32"/>
        </w:rPr>
        <w:t>【</w:t>
      </w:r>
      <w:r>
        <w:rPr>
          <w:rFonts w:hint="eastAsia" w:ascii="黑体" w:hAnsi="黑体" w:eastAsia="黑体"/>
          <w:color w:val="000000"/>
          <w:sz w:val="32"/>
          <w:szCs w:val="32"/>
          <w:lang w:eastAsia="zh-CN"/>
        </w:rPr>
        <w:t>纠纷受理衔接</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auto"/>
          <w:kern w:val="2"/>
          <w:sz w:val="32"/>
          <w:szCs w:val="32"/>
          <w:lang w:val="en-US" w:eastAsia="zh-CN" w:bidi="ar-SA"/>
        </w:rPr>
        <w:t>县（市、区）人民政府应当建立和完善矛盾纠纷调处化解工作平台窗口首问责任、一次性告知、预约调处等运行机制，完善县（市、区）、乡镇（街道）、村（社区）三级矛盾纠纷流转办理机制。</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color w:val="000000"/>
          <w:kern w:val="2"/>
          <w:sz w:val="32"/>
          <w:szCs w:val="32"/>
          <w:lang w:val="en-US" w:eastAsia="zh-CN" w:bidi="ar-SA"/>
        </w:rPr>
        <w:t>有关行政主管部门应当配合人民法院、人民检察院开展立案前矛盾纠纷评估工作，为人民法院、人民检察院引导当事人自愿选择适当的非诉讼</w:t>
      </w:r>
      <w:r>
        <w:rPr>
          <w:rFonts w:ascii="仿宋_GB2312" w:hAnsi="仿宋_GB2312" w:eastAsia="仿宋_GB2312"/>
          <w:color w:val="000000"/>
          <w:sz w:val="32"/>
          <w:szCs w:val="32"/>
          <w:lang w:val="en-US" w:eastAsia="zh-CN"/>
        </w:rPr>
        <w:t>途径</w:t>
      </w:r>
      <w:r>
        <w:rPr>
          <w:rFonts w:hint="eastAsia" w:ascii="仿宋_GB2312" w:hAnsi="仿宋_GB2312" w:eastAsia="仿宋_GB2312"/>
          <w:color w:val="000000"/>
          <w:kern w:val="2"/>
          <w:sz w:val="32"/>
          <w:szCs w:val="32"/>
          <w:lang w:val="en-US" w:eastAsia="zh-CN" w:bidi="ar-SA"/>
        </w:rPr>
        <w:t>解决矛盾纠纷，建立诉讼与非诉讼衔接机制和特邀调解员队伍提供协助。</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第十五条</w:t>
      </w:r>
      <w:r>
        <w:rPr>
          <w:rFonts w:hint="eastAsia" w:ascii="黑体" w:hAnsi="黑体" w:eastAsia="黑体"/>
          <w:color w:val="000000"/>
          <w:sz w:val="32"/>
          <w:szCs w:val="32"/>
        </w:rPr>
        <w:t>【</w:t>
      </w:r>
      <w:r>
        <w:rPr>
          <w:rFonts w:hint="eastAsia" w:ascii="黑体" w:hAnsi="黑体" w:eastAsia="黑体"/>
          <w:color w:val="000000"/>
          <w:sz w:val="32"/>
          <w:szCs w:val="32"/>
          <w:lang w:eastAsia="zh-CN"/>
        </w:rPr>
        <w:t>跨区域、跨部门、跨行业纠纷化解</w:t>
      </w:r>
      <w:r>
        <w:rPr>
          <w:rFonts w:hint="eastAsia" w:ascii="黑体" w:hAnsi="黑体" w:eastAsia="黑体"/>
          <w:color w:val="000000"/>
          <w:sz w:val="32"/>
          <w:szCs w:val="32"/>
        </w:rPr>
        <w:t>】</w:t>
      </w:r>
      <w:r>
        <w:rPr>
          <w:rFonts w:hint="eastAsia" w:ascii="仿宋_GB2312" w:hAnsi="仿宋_GB2312" w:eastAsia="仿宋_GB2312"/>
          <w:color w:val="000000"/>
          <w:sz w:val="32"/>
          <w:szCs w:val="32"/>
          <w:lang w:eastAsia="zh-CN"/>
        </w:rPr>
        <w:t>　县（市、区）人民政府应当推动建立省际、市际、县际接边地区矛盾纠纷联防联调工作机制，推进边界矛盾纠纷联合排查预警、联动分析评估、协同处置化解。</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对于跨行政区域、跨部门、跨行业或者涉及人数众多、新类型等重大疑难复杂矛盾纠纷，以及突发事件的应急处置，相关单位应当提请同级社会治安综合治理中心进行协调，加强会商研判、联动调处、督查督办。</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第十六条</w:t>
      </w:r>
      <w:r>
        <w:rPr>
          <w:rFonts w:hint="eastAsia" w:ascii="黑体" w:hAnsi="黑体" w:eastAsia="黑体"/>
          <w:color w:val="000000"/>
          <w:sz w:val="32"/>
          <w:szCs w:val="32"/>
        </w:rPr>
        <w:t>【</w:t>
      </w:r>
      <w:r>
        <w:rPr>
          <w:rFonts w:hint="eastAsia" w:ascii="黑体" w:hAnsi="黑体" w:eastAsia="黑体"/>
          <w:color w:val="000000"/>
          <w:sz w:val="32"/>
          <w:szCs w:val="32"/>
          <w:lang w:eastAsia="zh-CN"/>
        </w:rPr>
        <w:t>非诉讼途径类型</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ascii="仿宋_GB2312" w:hAnsi="仿宋_GB2312" w:eastAsia="仿宋_GB2312"/>
          <w:color w:val="000000"/>
          <w:sz w:val="32"/>
          <w:szCs w:val="32"/>
          <w:lang w:val="en-US" w:eastAsia="zh-CN"/>
        </w:rPr>
        <w:t>鼓励和引导当事人通过协商和解、人民调解、行政调解、商事调解、仲裁、行政裁决、行政复议或者法律法规规定的其他非诉讼途径化解矛盾纠纷。</w:t>
      </w:r>
    </w:p>
    <w:p>
      <w:pPr>
        <w:pStyle w:val="11"/>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第十七条</w:t>
      </w:r>
      <w:r>
        <w:rPr>
          <w:rFonts w:hint="eastAsia" w:ascii="黑体" w:hAnsi="黑体" w:eastAsia="黑体"/>
          <w:color w:val="000000"/>
          <w:sz w:val="32"/>
          <w:szCs w:val="32"/>
        </w:rPr>
        <w:t>【</w:t>
      </w:r>
      <w:r>
        <w:rPr>
          <w:rFonts w:hint="eastAsia" w:ascii="黑体" w:hAnsi="黑体" w:eastAsia="黑体" w:cs="Times New Roman"/>
          <w:color w:val="000000"/>
          <w:kern w:val="2"/>
          <w:sz w:val="32"/>
          <w:szCs w:val="32"/>
          <w:lang w:val="en-US" w:eastAsia="zh-CN" w:bidi="ar-SA"/>
        </w:rPr>
        <w:t>多元化解途径引</w:t>
      </w:r>
      <w:r>
        <w:rPr>
          <w:rFonts w:hint="eastAsia" w:ascii="黑体" w:hAnsi="黑体" w:eastAsia="黑体"/>
          <w:color w:val="000000"/>
          <w:sz w:val="32"/>
          <w:szCs w:val="32"/>
          <w:lang w:eastAsia="zh-CN"/>
        </w:rPr>
        <w:t>导</w:t>
      </w:r>
      <w:r>
        <w:rPr>
          <w:rFonts w:hint="eastAsia" w:ascii="黑体" w:hAnsi="黑体" w:eastAsia="黑体"/>
          <w:color w:val="000000"/>
          <w:sz w:val="32"/>
          <w:szCs w:val="32"/>
        </w:rPr>
        <w:t>】</w:t>
      </w:r>
      <w:r>
        <w:rPr>
          <w:rFonts w:ascii="黑体" w:hAnsi="黑体" w:eastAsia="黑体"/>
          <w:color w:val="000000"/>
          <w:sz w:val="32"/>
          <w:szCs w:val="32"/>
          <w:lang w:val="en-US"/>
        </w:rPr>
        <w:t xml:space="preserve">  </w:t>
      </w:r>
      <w:r>
        <w:rPr>
          <w:rFonts w:hint="eastAsia" w:ascii="仿宋_GB2312" w:hAnsi="仿宋_GB2312" w:eastAsia="仿宋_GB2312"/>
          <w:color w:val="000000"/>
          <w:sz w:val="32"/>
          <w:szCs w:val="32"/>
          <w:lang w:val="en-US" w:eastAsia="zh-CN"/>
        </w:rPr>
        <w:t>行政</w:t>
      </w:r>
      <w:r>
        <w:rPr>
          <w:rFonts w:ascii="仿宋_GB2312" w:hAnsi="仿宋_GB2312" w:eastAsia="仿宋_GB2312"/>
          <w:color w:val="000000"/>
          <w:sz w:val="32"/>
          <w:szCs w:val="32"/>
          <w:lang w:val="en-US" w:eastAsia="zh-CN"/>
        </w:rPr>
        <w:t>机关、人民团体、基层群众性自治组织和其他社会组织接受</w:t>
      </w:r>
      <w:r>
        <w:rPr>
          <w:rFonts w:hint="eastAsia" w:ascii="仿宋_GB2312" w:hAnsi="仿宋_GB2312" w:eastAsia="仿宋_GB2312"/>
          <w:color w:val="000000"/>
          <w:sz w:val="32"/>
          <w:szCs w:val="32"/>
          <w:lang w:val="en-US" w:eastAsia="zh-CN"/>
        </w:rPr>
        <w:t>矛盾</w:t>
      </w:r>
      <w:r>
        <w:rPr>
          <w:rFonts w:ascii="仿宋_GB2312" w:hAnsi="仿宋_GB2312" w:eastAsia="仿宋_GB2312"/>
          <w:color w:val="000000"/>
          <w:sz w:val="32"/>
          <w:szCs w:val="32"/>
          <w:lang w:val="en-US" w:eastAsia="zh-CN"/>
        </w:rPr>
        <w:t>纠纷化解申请，有关法律服务工作者接受法律咨询、委托代理，应当告知当事人</w:t>
      </w:r>
      <w:r>
        <w:rPr>
          <w:rFonts w:hint="eastAsia" w:ascii="仿宋_GB2312" w:hAnsi="仿宋_GB2312" w:eastAsia="仿宋_GB2312"/>
          <w:color w:val="000000"/>
          <w:sz w:val="32"/>
          <w:szCs w:val="32"/>
          <w:lang w:val="en-US" w:eastAsia="zh-CN"/>
        </w:rPr>
        <w:t>矛盾</w:t>
      </w:r>
      <w:r>
        <w:rPr>
          <w:rFonts w:ascii="仿宋_GB2312" w:hAnsi="仿宋_GB2312" w:eastAsia="仿宋_GB2312"/>
          <w:color w:val="000000"/>
          <w:sz w:val="32"/>
          <w:szCs w:val="32"/>
          <w:lang w:val="en-US" w:eastAsia="zh-CN"/>
        </w:rPr>
        <w:t>纠纷多元化解途径，并引导当事人优先选择成本较低、有利于修复关系的途径化解</w:t>
      </w:r>
      <w:r>
        <w:rPr>
          <w:rFonts w:hint="eastAsia" w:ascii="仿宋_GB2312" w:hAnsi="仿宋_GB2312" w:eastAsia="仿宋_GB2312"/>
          <w:color w:val="000000"/>
          <w:sz w:val="32"/>
          <w:szCs w:val="32"/>
          <w:lang w:val="en-US" w:eastAsia="zh-CN"/>
        </w:rPr>
        <w:t>矛盾</w:t>
      </w:r>
      <w:r>
        <w:rPr>
          <w:rFonts w:ascii="仿宋_GB2312" w:hAnsi="仿宋_GB2312" w:eastAsia="仿宋_GB2312"/>
          <w:color w:val="000000"/>
          <w:sz w:val="32"/>
          <w:szCs w:val="32"/>
          <w:lang w:val="en-US" w:eastAsia="zh-CN"/>
        </w:rPr>
        <w:t>纠纷。</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在仲裁、行政裁决、行政复议、诉讼等化解途径中，鼓励依法通过调解化解矛盾纠纷。</w:t>
      </w:r>
    </w:p>
    <w:p>
      <w:pPr>
        <w:pStyle w:val="11"/>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jc w:val="both"/>
        <w:textAlignment w:val="auto"/>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各类调解工作，应当遵</w:t>
      </w:r>
      <w:r>
        <w:rPr>
          <w:rFonts w:hint="eastAsia" w:ascii="仿宋_GB2312" w:hAnsi="仿宋_GB2312" w:eastAsia="仿宋_GB2312"/>
          <w:color w:val="000000"/>
          <w:sz w:val="32"/>
          <w:szCs w:val="32"/>
          <w:lang w:val="en-US" w:eastAsia="zh-CN"/>
        </w:rPr>
        <w:t>守</w:t>
      </w:r>
      <w:r>
        <w:rPr>
          <w:rFonts w:ascii="仿宋_GB2312" w:hAnsi="仿宋_GB2312" w:eastAsia="仿宋_GB2312"/>
          <w:color w:val="000000"/>
          <w:sz w:val="32"/>
          <w:szCs w:val="32"/>
          <w:lang w:val="en-US" w:eastAsia="zh-CN"/>
        </w:rPr>
        <w:t>有关调解期限规定，防止久调不决。经调解未能达成协议的，</w:t>
      </w:r>
      <w:r>
        <w:rPr>
          <w:rFonts w:hint="eastAsia" w:ascii="仿宋_GB2312" w:hAnsi="仿宋_GB2312" w:eastAsia="仿宋_GB2312"/>
          <w:color w:val="000000"/>
          <w:sz w:val="32"/>
          <w:szCs w:val="32"/>
          <w:lang w:val="en-US" w:eastAsia="zh-CN"/>
        </w:rPr>
        <w:t>行政</w:t>
      </w:r>
      <w:r>
        <w:rPr>
          <w:rFonts w:ascii="仿宋_GB2312" w:hAnsi="仿宋_GB2312" w:eastAsia="仿宋_GB2312"/>
          <w:color w:val="000000"/>
          <w:sz w:val="32"/>
          <w:szCs w:val="32"/>
          <w:lang w:val="en-US" w:eastAsia="zh-CN"/>
        </w:rPr>
        <w:t>机关、人民团体、基层群众性自治组织和其他社会组织应当告知当事人依法申请有关行政机关处理、申请仲裁或者向人民法院起诉。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第十八条</w:t>
      </w:r>
      <w:r>
        <w:rPr>
          <w:rFonts w:hint="eastAsia" w:ascii="黑体" w:hAnsi="黑体" w:eastAsia="黑体"/>
          <w:color w:val="000000"/>
          <w:sz w:val="32"/>
          <w:szCs w:val="32"/>
        </w:rPr>
        <w:t>【</w:t>
      </w:r>
      <w:r>
        <w:rPr>
          <w:rFonts w:hint="eastAsia" w:ascii="黑体" w:hAnsi="黑体" w:eastAsia="黑体"/>
          <w:color w:val="000000"/>
          <w:sz w:val="32"/>
          <w:szCs w:val="32"/>
          <w:lang w:eastAsia="zh-CN"/>
        </w:rPr>
        <w:t>行政调解</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val="en-US" w:eastAsia="zh-CN"/>
        </w:rPr>
        <w:t>行政机关根据需要设立行政调解委员会，制作并公布行政调解受理事项清单，依法对有关民商事纠纷和行政争议履行调解职能，也可以委托、邀请或者联合其他调解组织调解。</w:t>
      </w:r>
    </w:p>
    <w:p>
      <w:pPr>
        <w:pStyle w:val="11"/>
        <w:keepNext w:val="0"/>
        <w:keepLines w:val="0"/>
        <w:pageBreakBefore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黑体" w:hAnsi="黑体" w:eastAsia="黑体"/>
          <w:color w:val="000000"/>
          <w:sz w:val="32"/>
          <w:szCs w:val="32"/>
          <w:lang w:eastAsia="zh-CN"/>
        </w:rPr>
        <w:t>第十九条</w:t>
      </w:r>
      <w:r>
        <w:rPr>
          <w:rFonts w:hint="eastAsia" w:ascii="黑体" w:hAnsi="黑体" w:eastAsia="黑体"/>
          <w:color w:val="000000"/>
          <w:sz w:val="32"/>
          <w:szCs w:val="32"/>
        </w:rPr>
        <w:t>【</w:t>
      </w:r>
      <w:r>
        <w:rPr>
          <w:rFonts w:hint="eastAsia" w:ascii="黑体" w:hAnsi="黑体" w:eastAsia="黑体"/>
          <w:color w:val="000000"/>
          <w:sz w:val="32"/>
          <w:szCs w:val="32"/>
          <w:lang w:eastAsia="zh-CN"/>
        </w:rPr>
        <w:t>仲裁化解纠纷</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s="Times New Roman"/>
          <w:color w:val="000000"/>
          <w:kern w:val="2"/>
          <w:sz w:val="32"/>
          <w:szCs w:val="32"/>
          <w:lang w:val="en-US" w:eastAsia="zh-CN" w:bidi="ar-SA"/>
        </w:rPr>
        <w:t>鼓励物业、房地产、建设工程、金融、电子商务等领域行业主管部门、行业协会商会、企业事业单位，在民商事合同示范文本中将仲裁作为争议解决方式的选项，鼓励市场经营主体通过仲裁解决合同争议。</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第二十条</w:t>
      </w:r>
      <w:r>
        <w:rPr>
          <w:rFonts w:hint="eastAsia" w:ascii="黑体" w:hAnsi="黑体" w:eastAsia="黑体"/>
          <w:color w:val="000000"/>
          <w:sz w:val="32"/>
          <w:szCs w:val="32"/>
        </w:rPr>
        <w:t>【</w:t>
      </w:r>
      <w:r>
        <w:rPr>
          <w:rFonts w:hint="eastAsia" w:ascii="黑体" w:hAnsi="黑体" w:eastAsia="黑体"/>
          <w:color w:val="000000"/>
          <w:sz w:val="32"/>
          <w:szCs w:val="32"/>
          <w:lang w:eastAsia="zh-CN"/>
        </w:rPr>
        <w:t>法律工作者参与纠纷化解</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eastAsia="zh-CN"/>
        </w:rPr>
        <w:t>支持律师事务所、基层法律服务所等法律服务机构提供市场化调解服务。</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律师、基层法律服务工作者或者其他中立第三方可以根据当事人的共同委托，对矛盾纠纷事实、法律适用进行评估，提出矛盾纠纷化解建议。</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第二十一条</w:t>
      </w:r>
      <w:r>
        <w:rPr>
          <w:rFonts w:hint="eastAsia" w:ascii="黑体" w:hAnsi="黑体" w:eastAsia="黑体"/>
          <w:color w:val="000000"/>
          <w:sz w:val="32"/>
          <w:szCs w:val="32"/>
        </w:rPr>
        <w:t>【</w:t>
      </w:r>
      <w:r>
        <w:rPr>
          <w:rFonts w:hint="eastAsia" w:ascii="黑体" w:hAnsi="黑体" w:eastAsia="黑体"/>
          <w:color w:val="000000"/>
          <w:sz w:val="32"/>
          <w:szCs w:val="32"/>
          <w:lang w:eastAsia="zh-CN"/>
        </w:rPr>
        <w:t>公证服务化解纠纷</w:t>
      </w:r>
      <w:r>
        <w:rPr>
          <w:rFonts w:hint="eastAsia" w:ascii="黑体" w:hAnsi="黑体" w:eastAsia="黑体"/>
          <w:color w:val="000000"/>
          <w:sz w:val="32"/>
          <w:szCs w:val="32"/>
        </w:rPr>
        <w:t>】</w:t>
      </w:r>
      <w:r>
        <w:rPr>
          <w:rFonts w:ascii="黑体" w:hAnsi="黑体" w:eastAsia="黑体"/>
          <w:color w:val="000000"/>
          <w:sz w:val="32"/>
          <w:szCs w:val="32"/>
          <w:lang w:val="en-US"/>
        </w:rPr>
        <w:t xml:space="preserve"> </w:t>
      </w:r>
      <w:r>
        <w:rPr>
          <w:rFonts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val="en-US" w:eastAsia="zh-CN"/>
        </w:rPr>
        <w:t>鼓励和支持</w:t>
      </w:r>
      <w:r>
        <w:rPr>
          <w:rFonts w:ascii="仿宋_GB2312" w:hAnsi="仿宋_GB2312" w:eastAsia="仿宋_GB2312"/>
          <w:color w:val="000000"/>
          <w:sz w:val="32"/>
          <w:szCs w:val="32"/>
          <w:lang w:val="en-US" w:eastAsia="zh-CN"/>
        </w:rPr>
        <w:t>公证机构</w:t>
      </w:r>
      <w:r>
        <w:rPr>
          <w:rFonts w:hint="eastAsia" w:ascii="仿宋_GB2312" w:hAnsi="仿宋_GB2312" w:eastAsia="仿宋_GB2312"/>
          <w:color w:val="000000"/>
          <w:sz w:val="32"/>
          <w:szCs w:val="32"/>
          <w:lang w:val="en-US" w:eastAsia="zh-CN"/>
        </w:rPr>
        <w:t>在人民法院</w:t>
      </w:r>
      <w:r>
        <w:rPr>
          <w:rFonts w:hint="eastAsia" w:ascii="仿宋_GB2312" w:hAnsi="仿宋_GB2312" w:eastAsia="仿宋_GB2312"/>
          <w:sz w:val="32"/>
          <w:szCs w:val="32"/>
          <w:lang w:val="en-US" w:eastAsia="zh-CN"/>
        </w:rPr>
        <w:t>送达、取证、保全、执行等环节提供公证法律服务。</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对于具有给付内容并载明债务人愿意接受强制执行承诺的和解协议、调解协议，经当事人</w:t>
      </w:r>
      <w:r>
        <w:rPr>
          <w:rFonts w:hint="eastAsia" w:ascii="仿宋_GB2312" w:hAnsi="仿宋_GB2312" w:eastAsia="仿宋_GB2312"/>
          <w:color w:val="000000"/>
          <w:sz w:val="32"/>
          <w:szCs w:val="32"/>
          <w:lang w:eastAsia="zh-CN"/>
        </w:rPr>
        <w:t>共同</w:t>
      </w:r>
      <w:r>
        <w:rPr>
          <w:rFonts w:ascii="仿宋_GB2312" w:hAnsi="仿宋_GB2312" w:eastAsia="仿宋_GB2312"/>
          <w:color w:val="000000"/>
          <w:sz w:val="32"/>
          <w:szCs w:val="32"/>
          <w:lang w:val="en-US" w:eastAsia="zh-CN"/>
        </w:rPr>
        <w:t>申请</w:t>
      </w:r>
      <w:r>
        <w:rPr>
          <w:rFonts w:hint="eastAsia" w:ascii="仿宋_GB2312" w:hAnsi="仿宋_GB2312" w:eastAsia="仿宋_GB2312"/>
          <w:color w:val="000000"/>
          <w:sz w:val="32"/>
          <w:szCs w:val="32"/>
          <w:lang w:val="en-US" w:eastAsia="zh-CN"/>
        </w:rPr>
        <w:t>，公证机构</w:t>
      </w:r>
      <w:r>
        <w:rPr>
          <w:rFonts w:ascii="仿宋_GB2312" w:hAnsi="仿宋_GB2312" w:eastAsia="仿宋_GB2312"/>
          <w:color w:val="000000"/>
          <w:sz w:val="32"/>
          <w:szCs w:val="32"/>
          <w:lang w:val="en-US" w:eastAsia="zh-CN"/>
        </w:rPr>
        <w:t>可以依法办理具有强制执行效力的债权文书公证。</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sz w:val="32"/>
          <w:szCs w:val="32"/>
          <w:lang w:val="en-US" w:eastAsia="zh-CN"/>
        </w:rPr>
      </w:pPr>
      <w:r>
        <w:rPr>
          <w:rFonts w:hint="eastAsia" w:ascii="黑体" w:hAnsi="黑体" w:eastAsia="黑体"/>
          <w:color w:val="000000"/>
          <w:sz w:val="32"/>
          <w:szCs w:val="32"/>
          <w:lang w:eastAsia="zh-CN"/>
        </w:rPr>
        <w:t>第二十二条</w:t>
      </w:r>
      <w:r>
        <w:rPr>
          <w:rFonts w:hint="eastAsia" w:ascii="黑体" w:hAnsi="黑体" w:eastAsia="黑体"/>
          <w:color w:val="000000"/>
          <w:sz w:val="32"/>
          <w:szCs w:val="32"/>
        </w:rPr>
        <w:t>【</w:t>
      </w:r>
      <w:r>
        <w:rPr>
          <w:rFonts w:hint="eastAsia" w:ascii="黑体" w:hAnsi="黑体" w:eastAsia="黑体"/>
          <w:color w:val="000000"/>
          <w:sz w:val="32"/>
          <w:szCs w:val="32"/>
          <w:lang w:eastAsia="zh-CN"/>
        </w:rPr>
        <w:t>经费保障</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val="en-US" w:eastAsia="zh-CN"/>
        </w:rPr>
        <w:t>市、县（市、区）人民政府应当支持和保障矛盾纠纷预防和化解工作所需经费。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s="仿宋_GB2312"/>
          <w:sz w:val="32"/>
          <w:szCs w:val="32"/>
        </w:rPr>
        <w:t>人民调解委员会设立单位和相关行业主管部门应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依法为人民调解员开展工作提供场所、设施等办公条件和必要的工作经费。</w:t>
      </w:r>
      <w:r>
        <w:rPr>
          <w:rFonts w:hint="eastAsia" w:ascii="仿宋_GB2312" w:hAnsi="仿宋_GB2312" w:eastAsia="仿宋_GB2312"/>
          <w:color w:val="000000"/>
          <w:sz w:val="32"/>
          <w:szCs w:val="32"/>
          <w:lang w:eastAsia="zh-CN"/>
        </w:rPr>
        <w:t>乡镇人民政府、街道办事处设立的人民调解委员会所需工作经费，纳入县、乡两级人民政府财政预算。</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鼓励社会各界通过捐赠、公益赞助等方式为矛盾纠纷预防</w:t>
      </w:r>
      <w:r>
        <w:rPr>
          <w:rFonts w:hint="eastAsia" w:ascii="仿宋_GB2312" w:hAnsi="仿宋_GB2312" w:eastAsia="仿宋_GB2312"/>
          <w:color w:val="000000"/>
          <w:sz w:val="32"/>
          <w:szCs w:val="32"/>
          <w:lang w:val="en-US" w:eastAsia="zh-CN"/>
        </w:rPr>
        <w:t>和</w:t>
      </w:r>
      <w:r>
        <w:rPr>
          <w:rFonts w:hint="eastAsia" w:ascii="仿宋_GB2312" w:hAnsi="仿宋_GB2312" w:eastAsia="仿宋_GB2312"/>
          <w:color w:val="000000"/>
          <w:sz w:val="32"/>
          <w:szCs w:val="32"/>
          <w:lang w:eastAsia="zh-CN"/>
        </w:rPr>
        <w:t>化解工作提供经费支持。</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第二十三条</w:t>
      </w:r>
      <w:r>
        <w:rPr>
          <w:rFonts w:hint="eastAsia" w:ascii="黑体" w:hAnsi="黑体" w:eastAsia="黑体"/>
          <w:color w:val="000000"/>
          <w:sz w:val="32"/>
          <w:szCs w:val="32"/>
        </w:rPr>
        <w:t>【</w:t>
      </w:r>
      <w:r>
        <w:rPr>
          <w:rFonts w:hint="eastAsia" w:ascii="黑体" w:hAnsi="黑体" w:eastAsia="黑体"/>
          <w:color w:val="000000"/>
          <w:sz w:val="32"/>
          <w:szCs w:val="32"/>
          <w:lang w:eastAsia="zh-CN"/>
        </w:rPr>
        <w:t>政府购买服务</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eastAsia="zh-CN"/>
        </w:rPr>
        <w:t>行政机关、人民团体可以通过购买服务等方式，将适合的矛盾纠纷化解工作委托社会力量办理，所需社会服务纳入本级人民政府购买服务指导性目录。</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sz w:val="32"/>
          <w:szCs w:val="32"/>
          <w:lang w:eastAsia="zh-CN"/>
        </w:rPr>
      </w:pPr>
      <w:r>
        <w:rPr>
          <w:rFonts w:hint="eastAsia" w:ascii="黑体" w:hAnsi="黑体" w:eastAsia="黑体"/>
          <w:color w:val="000000"/>
          <w:sz w:val="32"/>
          <w:szCs w:val="32"/>
          <w:lang w:eastAsia="zh-CN"/>
        </w:rPr>
        <w:t>第二十四条</w:t>
      </w:r>
      <w:r>
        <w:rPr>
          <w:rFonts w:hint="eastAsia" w:ascii="黑体" w:hAnsi="黑体" w:eastAsia="黑体"/>
          <w:color w:val="000000"/>
          <w:sz w:val="32"/>
          <w:szCs w:val="32"/>
        </w:rPr>
        <w:t>【</w:t>
      </w:r>
      <w:r>
        <w:rPr>
          <w:rFonts w:hint="eastAsia" w:ascii="黑体" w:hAnsi="黑体" w:eastAsia="黑体"/>
          <w:color w:val="000000"/>
          <w:sz w:val="32"/>
          <w:szCs w:val="32"/>
          <w:lang w:eastAsia="zh-CN"/>
        </w:rPr>
        <w:t>矛盾纠纷化解实体平台建设</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eastAsia="zh-CN"/>
        </w:rPr>
        <w:t>乡镇人民政府、街道办事处应当加强社会治安综合治理中心规范化建设，建立“一站式”矛盾纠纷化解实体平台，结合实际整合资源，对接承担矛盾纠纷化解职能的相关单位或者组织，接收处理当事人现场申请以及有关信息平台交办的矛盾纠纷化解事项。</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第二十五条</w:t>
      </w:r>
      <w:r>
        <w:rPr>
          <w:rFonts w:hint="eastAsia" w:ascii="黑体" w:hAnsi="黑体" w:eastAsia="黑体"/>
          <w:color w:val="000000"/>
          <w:sz w:val="32"/>
          <w:szCs w:val="32"/>
        </w:rPr>
        <w:t>【</w:t>
      </w:r>
      <w:r>
        <w:rPr>
          <w:rFonts w:hint="eastAsia" w:ascii="黑体" w:hAnsi="黑体" w:eastAsia="黑体"/>
          <w:color w:val="000000"/>
          <w:sz w:val="32"/>
          <w:szCs w:val="32"/>
          <w:lang w:eastAsia="zh-CN"/>
        </w:rPr>
        <w:t>信息技术运用</w:t>
      </w:r>
      <w:r>
        <w:rPr>
          <w:rFonts w:hint="eastAsia" w:ascii="黑体" w:hAnsi="黑体" w:eastAsia="黑体"/>
          <w:color w:val="000000"/>
          <w:sz w:val="32"/>
          <w:szCs w:val="32"/>
        </w:rPr>
        <w:t>】</w:t>
      </w:r>
      <w:r>
        <w:rPr>
          <w:rFonts w:hint="eastAsia" w:ascii="仿宋_GB2312" w:hAnsi="仿宋_GB2312" w:eastAsia="仿宋_GB2312"/>
          <w:color w:val="000000"/>
          <w:sz w:val="32"/>
          <w:szCs w:val="32"/>
          <w:lang w:val="en-US" w:eastAsia="zh-CN"/>
        </w:rPr>
        <w:t xml:space="preserve">  </w:t>
      </w:r>
      <w:r>
        <w:rPr>
          <w:rFonts w:hint="eastAsia" w:ascii="仿宋_GB2312" w:eastAsia="仿宋_GB2312"/>
          <w:sz w:val="32"/>
          <w:szCs w:val="32"/>
          <w:u w:val="none"/>
          <w:lang w:eastAsia="zh-CN"/>
        </w:rPr>
        <w:t>公安机关、司法行政、</w:t>
      </w:r>
      <w:r>
        <w:rPr>
          <w:rFonts w:hint="eastAsia" w:ascii="仿宋_GB2312" w:eastAsia="仿宋_GB2312"/>
          <w:kern w:val="0"/>
          <w:sz w:val="32"/>
          <w:szCs w:val="32"/>
          <w:lang w:val="en-US" w:eastAsia="zh-CN" w:bidi="ar"/>
        </w:rPr>
        <w:t>人力资源和社会保障、信访等部门，工会、共产主义青年团、妇女联合会等人民团体，以及</w:t>
      </w:r>
      <w:r>
        <w:rPr>
          <w:rFonts w:hint="eastAsia" w:ascii="仿宋_GB2312" w:hAnsi="仿宋_GB2312" w:eastAsia="仿宋_GB2312"/>
          <w:color w:val="000000"/>
          <w:sz w:val="32"/>
          <w:szCs w:val="32"/>
          <w:lang w:eastAsia="zh-CN"/>
        </w:rPr>
        <w:t>乡镇人民政府、街道办事处等应当充分运用三明市社会治理公共服务平台，推进矛盾纠纷信息采集、协同排查、分类管理、分级处置，促进矛盾纠纷早发现、早化解。</w:t>
      </w:r>
    </w:p>
    <w:p>
      <w:pPr>
        <w:pStyle w:val="11"/>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olor w:val="000000"/>
          <w:kern w:val="2"/>
          <w:sz w:val="32"/>
          <w:szCs w:val="32"/>
          <w:lang w:val="en-US" w:eastAsia="zh-CN" w:bidi="ar-SA"/>
        </w:rPr>
      </w:pPr>
      <w:r>
        <w:rPr>
          <w:rFonts w:hint="eastAsia" w:ascii="仿宋_GB2312" w:hAnsi="仿宋_GB2312" w:eastAsia="仿宋_GB2312"/>
          <w:color w:val="000000"/>
          <w:kern w:val="2"/>
          <w:sz w:val="32"/>
          <w:szCs w:val="32"/>
          <w:lang w:val="en-US" w:eastAsia="zh-CN" w:bidi="ar-SA"/>
        </w:rPr>
        <w:t>鼓励调解组织依托人民法院调解平台，建立线上调解工作室，通过在线咨询、调解等方式，为海外侨胞、台胞提供便捷调解服务。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sz w:val="32"/>
          <w:szCs w:val="32"/>
          <w:lang w:eastAsia="zh-CN"/>
        </w:rPr>
      </w:pPr>
      <w:r>
        <w:rPr>
          <w:rFonts w:hint="eastAsia" w:ascii="黑体" w:hAnsi="黑体" w:eastAsia="黑体"/>
          <w:color w:val="000000"/>
          <w:sz w:val="32"/>
          <w:szCs w:val="32"/>
          <w:lang w:eastAsia="zh-CN"/>
        </w:rPr>
        <w:t>第二十六条</w:t>
      </w:r>
      <w:r>
        <w:rPr>
          <w:rFonts w:hint="eastAsia" w:ascii="黑体" w:hAnsi="黑体" w:eastAsia="黑体"/>
          <w:color w:val="000000"/>
          <w:sz w:val="32"/>
          <w:szCs w:val="32"/>
        </w:rPr>
        <w:t>【</w:t>
      </w:r>
      <w:r>
        <w:rPr>
          <w:rFonts w:hint="eastAsia" w:ascii="黑体" w:hAnsi="黑体" w:eastAsia="黑体"/>
          <w:color w:val="000000"/>
          <w:sz w:val="32"/>
          <w:szCs w:val="32"/>
          <w:lang w:eastAsia="zh-CN"/>
        </w:rPr>
        <w:t>调解组织建设</w:t>
      </w:r>
      <w:r>
        <w:rPr>
          <w:rFonts w:hint="eastAsia" w:ascii="黑体" w:hAnsi="黑体" w:eastAsia="黑体"/>
          <w:color w:val="000000"/>
          <w:sz w:val="32"/>
          <w:szCs w:val="32"/>
        </w:rPr>
        <w:t>】</w:t>
      </w:r>
      <w:r>
        <w:rPr>
          <w:rFonts w:hint="eastAsia" w:ascii="仿宋_GB2312" w:hAnsi="仿宋_GB2312" w:eastAsia="仿宋_GB2312"/>
          <w:color w:val="000000"/>
          <w:sz w:val="32"/>
          <w:szCs w:val="32"/>
          <w:lang w:eastAsia="zh-CN"/>
        </w:rPr>
        <w:t xml:space="preserve">  乡镇、街道人民调解委员会应当配备</w:t>
      </w:r>
      <w:r>
        <w:rPr>
          <w:rFonts w:hint="eastAsia" w:ascii="仿宋_GB2312" w:hAnsi="仿宋_GB2312" w:eastAsia="仿宋_GB2312"/>
          <w:color w:val="000000"/>
          <w:sz w:val="32"/>
          <w:szCs w:val="32"/>
          <w:lang w:val="en-US" w:eastAsia="zh-CN"/>
        </w:rPr>
        <w:t>2名以上专职人民</w:t>
      </w:r>
      <w:bookmarkStart w:id="0" w:name="_GoBack"/>
      <w:bookmarkEnd w:id="0"/>
      <w:r>
        <w:rPr>
          <w:rFonts w:hint="eastAsia" w:ascii="仿宋_GB2312" w:hAnsi="仿宋_GB2312" w:eastAsia="仿宋_GB2312"/>
          <w:color w:val="000000"/>
          <w:sz w:val="32"/>
          <w:szCs w:val="32"/>
          <w:lang w:val="en-US" w:eastAsia="zh-CN"/>
        </w:rPr>
        <w:t>调解员，</w:t>
      </w:r>
      <w:r>
        <w:rPr>
          <w:rFonts w:hint="eastAsia" w:ascii="仿宋_GB2312" w:hAnsi="仿宋_GB2312" w:eastAsia="仿宋_GB2312" w:cs="仿宋_GB2312"/>
          <w:sz w:val="32"/>
          <w:szCs w:val="32"/>
        </w:rPr>
        <w:t>行业性、专业性人民调解委员会应</w:t>
      </w:r>
      <w:r>
        <w:rPr>
          <w:rFonts w:hint="eastAsia" w:ascii="仿宋_GB2312" w:hAnsi="仿宋_GB2312" w:eastAsia="仿宋_GB2312"/>
          <w:color w:val="000000"/>
          <w:sz w:val="32"/>
          <w:szCs w:val="32"/>
          <w:lang w:eastAsia="zh-CN"/>
        </w:rPr>
        <w:t>当配备</w:t>
      </w:r>
      <w:r>
        <w:rPr>
          <w:rFonts w:hint="eastAsia" w:ascii="仿宋_GB2312" w:hAnsi="仿宋_GB2312" w:eastAsia="仿宋_GB2312" w:cs="仿宋_GB2312"/>
          <w:sz w:val="32"/>
          <w:szCs w:val="32"/>
        </w:rPr>
        <w:t>3名以上专职人民调解员</w:t>
      </w:r>
      <w:r>
        <w:rPr>
          <w:rFonts w:hint="eastAsia"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调解组织根据需要，征得当事人同意，可以邀请有关国家机关工作人员、人大代表、政协委员、法律服务工作者、社区工作人员、新乡贤等具有专门知识或者特定经验的人员，以及当事人的亲属、邻里、同事等参与调解。</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第二十七条</w:t>
      </w:r>
      <w:r>
        <w:rPr>
          <w:rFonts w:hint="eastAsia" w:ascii="黑体" w:hAnsi="黑体" w:eastAsia="黑体"/>
          <w:color w:val="000000"/>
          <w:sz w:val="32"/>
          <w:szCs w:val="32"/>
        </w:rPr>
        <w:t>【</w:t>
      </w:r>
      <w:r>
        <w:rPr>
          <w:rFonts w:hint="eastAsia" w:ascii="黑体" w:hAnsi="黑体" w:eastAsia="黑体"/>
          <w:color w:val="000000"/>
          <w:sz w:val="32"/>
          <w:szCs w:val="32"/>
          <w:lang w:eastAsia="zh-CN"/>
        </w:rPr>
        <w:t>调解组织管理</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eastAsia="zh-CN"/>
        </w:rPr>
        <w:t>司法行政部门和有关行业主管部门应当加强对调解组织和调解员的监督管理，建立完善调解员准入、培训、奖惩制度和调解工作室设立、调解组织名册管理等制度，</w:t>
      </w:r>
      <w:r>
        <w:rPr>
          <w:rFonts w:ascii="仿宋_GB2312" w:hAnsi="仿宋_GB2312" w:eastAsia="仿宋_GB2312"/>
          <w:sz w:val="32"/>
          <w:szCs w:val="32"/>
        </w:rPr>
        <w:t>推动调解组织与承担矛盾纠纷化解职能的相关单位、平台对接。</w:t>
      </w:r>
    </w:p>
    <w:p>
      <w:pPr>
        <w:pStyle w:val="11"/>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第二十八条</w:t>
      </w:r>
      <w:r>
        <w:rPr>
          <w:rFonts w:hint="eastAsia" w:ascii="黑体" w:hAnsi="黑体" w:eastAsia="黑体"/>
          <w:color w:val="000000"/>
          <w:sz w:val="32"/>
          <w:szCs w:val="32"/>
        </w:rPr>
        <w:t>【</w:t>
      </w:r>
      <w:r>
        <w:rPr>
          <w:rFonts w:hint="eastAsia" w:ascii="黑体" w:hAnsi="黑体" w:eastAsia="黑体"/>
          <w:color w:val="000000"/>
          <w:sz w:val="32"/>
          <w:szCs w:val="32"/>
          <w:lang w:eastAsia="zh-CN"/>
        </w:rPr>
        <w:t>调解人员队伍建设</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val="en-US" w:eastAsia="zh-CN"/>
        </w:rPr>
        <w:t xml:space="preserve"> 司法行政部门应当落实人民调解员等级评定制度，</w:t>
      </w:r>
      <w:r>
        <w:rPr>
          <w:rFonts w:hint="eastAsia" w:ascii="仿宋_GB2312" w:hAnsi="仿宋_GB2312" w:eastAsia="仿宋_GB2312"/>
          <w:color w:val="000000"/>
          <w:sz w:val="32"/>
          <w:szCs w:val="32"/>
          <w:lang w:eastAsia="zh-CN"/>
        </w:rPr>
        <w:t>健全人民调解员表扬激励机制</w:t>
      </w:r>
      <w:r>
        <w:rPr>
          <w:rFonts w:hint="eastAsia" w:ascii="仿宋_GB2312" w:hAnsi="仿宋_GB2312" w:eastAsia="仿宋_GB2312"/>
          <w:color w:val="000000"/>
          <w:sz w:val="32"/>
          <w:szCs w:val="32"/>
          <w:lang w:val="en-US" w:eastAsia="zh-CN"/>
        </w:rPr>
        <w:t>，对人民调解员的等级评定实行动态管理。会同财政部门健全人民调解经费保障机制，完善人民调解员以案定补的动态激励制度。</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有关行业主管部门</w:t>
      </w:r>
      <w:r>
        <w:rPr>
          <w:rFonts w:hint="eastAsia" w:ascii="仿宋_GB2312" w:hAnsi="仿宋_GB2312" w:eastAsia="仿宋_GB2312"/>
          <w:color w:val="000000"/>
          <w:sz w:val="32"/>
          <w:szCs w:val="32"/>
          <w:lang w:eastAsia="zh-CN"/>
        </w:rPr>
        <w:t>、人民团体和其他社会组织应当建立健全调解员培训机制，定期组织业务培训，推动调解员专业化建设。</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鼓励社会力量开办专业化、职业化调解员培训机构。</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第二十九条</w:t>
      </w:r>
      <w:r>
        <w:rPr>
          <w:rFonts w:hint="eastAsia" w:ascii="黑体" w:hAnsi="黑体" w:eastAsia="黑体"/>
          <w:color w:val="000000"/>
          <w:sz w:val="32"/>
          <w:szCs w:val="32"/>
        </w:rPr>
        <w:t>【</w:t>
      </w:r>
      <w:r>
        <w:rPr>
          <w:rFonts w:hint="eastAsia" w:ascii="黑体" w:hAnsi="黑体" w:eastAsia="黑体"/>
          <w:color w:val="000000"/>
          <w:sz w:val="32"/>
          <w:szCs w:val="32"/>
          <w:lang w:eastAsia="zh-CN"/>
        </w:rPr>
        <w:t>行政机关拒不纠错的后果</w:t>
      </w:r>
      <w:r>
        <w:rPr>
          <w:rFonts w:hint="eastAsia" w:ascii="黑体" w:hAnsi="黑体" w:eastAsia="黑体"/>
          <w:color w:val="000000"/>
          <w:sz w:val="32"/>
          <w:szCs w:val="32"/>
        </w:rPr>
        <w:t>】</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lang w:eastAsia="zh-CN"/>
        </w:rPr>
        <w:t>行政机关拒不接受有关机关的书面建议、未主动纠正错误或者逾期未开展行政争议化解工作，且原行政行为被依法撤销、确认违法或者无效的，对直接负责的主管人员和其他直接责任人员依法给予处分。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第三十条</w:t>
      </w:r>
      <w:r>
        <w:rPr>
          <w:rFonts w:hint="eastAsia" w:ascii="黑体" w:hAnsi="黑体" w:eastAsia="黑体"/>
          <w:color w:val="000000"/>
          <w:sz w:val="32"/>
          <w:szCs w:val="32"/>
        </w:rPr>
        <w:t>【</w:t>
      </w:r>
      <w:r>
        <w:rPr>
          <w:rFonts w:hint="eastAsia" w:ascii="黑体" w:hAnsi="黑体" w:eastAsia="黑体"/>
          <w:color w:val="000000"/>
          <w:sz w:val="32"/>
          <w:szCs w:val="32"/>
          <w:lang w:eastAsia="zh-CN"/>
        </w:rPr>
        <w:t>虚假调解、公证、仲裁等行为的后果</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val="en-US" w:eastAsia="zh-CN"/>
        </w:rPr>
        <w:t>矛盾纠纷化解单位、组织</w:t>
      </w:r>
      <w:r>
        <w:rPr>
          <w:rFonts w:hint="eastAsia" w:ascii="仿宋_GB2312" w:hAnsi="仿宋_GB2312" w:eastAsia="仿宋_GB2312"/>
          <w:color w:val="000000"/>
          <w:sz w:val="32"/>
          <w:szCs w:val="32"/>
          <w:lang w:eastAsia="zh-CN"/>
        </w:rPr>
        <w:t>发现当事人存在虚假调解、虚假公证、虚假仲裁等行为，恶意串通损害公共利益或者第三人合法权益的，应当根据具体情形不予受理、中止化解或者撤销相应文书，有权机关应当依法追究当事人的法律责任。</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第三十一条</w:t>
      </w:r>
      <w:r>
        <w:rPr>
          <w:rFonts w:hint="eastAsia" w:ascii="黑体" w:hAnsi="黑体" w:eastAsia="黑体"/>
          <w:color w:val="000000"/>
          <w:sz w:val="32"/>
          <w:szCs w:val="32"/>
        </w:rPr>
        <w:t>【</w:t>
      </w:r>
      <w:r>
        <w:rPr>
          <w:rFonts w:hint="eastAsia" w:ascii="黑体" w:hAnsi="黑体" w:eastAsia="黑体"/>
          <w:color w:val="000000"/>
          <w:sz w:val="32"/>
          <w:szCs w:val="32"/>
          <w:lang w:eastAsia="zh-CN"/>
        </w:rPr>
        <w:t>扰乱纠纷秩序的行为处理</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color w:val="000000"/>
          <w:sz w:val="32"/>
          <w:szCs w:val="32"/>
          <w:lang w:eastAsia="zh-CN"/>
        </w:rPr>
        <w:t>当事人在矛盾纠纷化解过程中扰乱矛盾纠纷化解工作秩序，侮辱矛盾纠纷化解工作人员和对方当事人的，矛盾纠纷化解单位、组织依法予以处理。</w:t>
      </w:r>
      <w:r>
        <w:rPr>
          <w:rFonts w:hint="eastAsia" w:ascii="仿宋_GB2312" w:hAnsi="仿宋_GB2312" w:eastAsia="仿宋_GB2312"/>
          <w:spacing w:val="-3"/>
          <w:sz w:val="32"/>
          <w:szCs w:val="32"/>
          <w:lang w:eastAsia="zh-CN"/>
        </w:rPr>
        <w:t>构成违反治安管理行为的，依法给予治安管理处罚。</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第三十二条</w:t>
      </w:r>
      <w:r>
        <w:rPr>
          <w:rFonts w:hint="eastAsia" w:ascii="黑体" w:hAnsi="黑体" w:eastAsia="黑体"/>
          <w:color w:val="000000"/>
          <w:sz w:val="32"/>
          <w:szCs w:val="32"/>
        </w:rPr>
        <w:t>【</w:t>
      </w:r>
      <w:r>
        <w:rPr>
          <w:rFonts w:hint="eastAsia" w:ascii="黑体" w:hAnsi="黑体" w:eastAsia="黑体"/>
          <w:color w:val="000000"/>
          <w:sz w:val="32"/>
          <w:szCs w:val="32"/>
          <w:lang w:eastAsia="zh-CN"/>
        </w:rPr>
        <w:t>施行时间</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 xml:space="preserve">  </w:t>
      </w:r>
      <w:r>
        <w:rPr>
          <w:rFonts w:hint="eastAsia" w:ascii="仿宋_GB2312" w:hAnsi="仿宋_GB2312" w:eastAsia="仿宋_GB2312"/>
          <w:spacing w:val="-3"/>
          <w:sz w:val="32"/>
          <w:szCs w:val="32"/>
        </w:rPr>
        <w:t>本</w:t>
      </w:r>
      <w:r>
        <w:rPr>
          <w:rFonts w:hint="eastAsia" w:ascii="仿宋_GB2312" w:hAnsi="仿宋_GB2312" w:eastAsia="仿宋_GB2312"/>
          <w:spacing w:val="-3"/>
          <w:sz w:val="32"/>
          <w:szCs w:val="32"/>
          <w:lang w:eastAsia="zh-CN"/>
        </w:rPr>
        <w:t>办法</w:t>
      </w:r>
      <w:r>
        <w:rPr>
          <w:rFonts w:hint="eastAsia" w:ascii="仿宋_GB2312" w:hAnsi="仿宋_GB2312" w:eastAsia="仿宋_GB2312"/>
          <w:spacing w:val="-3"/>
          <w:sz w:val="32"/>
          <w:szCs w:val="32"/>
        </w:rPr>
        <w:t>自20</w:t>
      </w:r>
      <w:r>
        <w:rPr>
          <w:rFonts w:hint="eastAsia" w:ascii="仿宋_GB2312" w:hAnsi="仿宋_GB2312" w:eastAsia="仿宋_GB2312"/>
          <w:spacing w:val="-3"/>
          <w:sz w:val="32"/>
          <w:szCs w:val="32"/>
          <w:lang w:val="en-US" w:eastAsia="zh-CN"/>
        </w:rPr>
        <w:t>25</w:t>
      </w:r>
      <w:r>
        <w:rPr>
          <w:rFonts w:hint="eastAsia" w:ascii="仿宋_GB2312" w:hAnsi="仿宋_GB2312" w:eastAsia="仿宋_GB2312"/>
          <w:spacing w:val="-3"/>
          <w:sz w:val="32"/>
          <w:szCs w:val="32"/>
        </w:rPr>
        <w:t>年</w:t>
      </w:r>
      <w:r>
        <w:rPr>
          <w:rFonts w:ascii="仿宋_GB2312" w:hAnsi="仿宋_GB2312" w:eastAsia="仿宋_GB2312"/>
          <w:spacing w:val="-3"/>
          <w:sz w:val="32"/>
          <w:szCs w:val="32"/>
          <w:lang w:val="en-US"/>
        </w:rPr>
        <w:t xml:space="preserve"> </w:t>
      </w:r>
      <w:r>
        <w:rPr>
          <w:rFonts w:hint="eastAsia" w:ascii="仿宋_GB2312" w:hAnsi="仿宋_GB2312" w:eastAsia="仿宋_GB2312"/>
          <w:spacing w:val="-3"/>
          <w:sz w:val="32"/>
          <w:szCs w:val="32"/>
        </w:rPr>
        <w:t>月</w:t>
      </w:r>
      <w:r>
        <w:rPr>
          <w:rFonts w:ascii="仿宋_GB2312" w:hAnsi="仿宋_GB2312" w:eastAsia="仿宋_GB2312"/>
          <w:spacing w:val="-3"/>
          <w:sz w:val="32"/>
          <w:szCs w:val="32"/>
          <w:lang w:val="en-US"/>
        </w:rPr>
        <w:t xml:space="preserve"> </w:t>
      </w:r>
      <w:r>
        <w:rPr>
          <w:rFonts w:hint="eastAsia" w:ascii="仿宋_GB2312" w:hAnsi="仿宋_GB2312" w:eastAsia="仿宋_GB2312"/>
          <w:spacing w:val="-3"/>
          <w:sz w:val="32"/>
          <w:szCs w:val="32"/>
        </w:rPr>
        <w:t>日起施行。</w:t>
      </w:r>
    </w:p>
    <w:sectPr>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F2EE9"/>
    <w:rsid w:val="13E7C967"/>
    <w:rsid w:val="1F6FE5C9"/>
    <w:rsid w:val="2A77E3BF"/>
    <w:rsid w:val="2EF4BB54"/>
    <w:rsid w:val="2F6F98F9"/>
    <w:rsid w:val="35E07000"/>
    <w:rsid w:val="37EB6019"/>
    <w:rsid w:val="392F1ACA"/>
    <w:rsid w:val="39F6FCAE"/>
    <w:rsid w:val="3AFD1646"/>
    <w:rsid w:val="3B9E1C31"/>
    <w:rsid w:val="3BFF2900"/>
    <w:rsid w:val="3F7FB00B"/>
    <w:rsid w:val="3F7FF207"/>
    <w:rsid w:val="3FD7A54D"/>
    <w:rsid w:val="435FBA95"/>
    <w:rsid w:val="4D7F29B0"/>
    <w:rsid w:val="4FDE5FEF"/>
    <w:rsid w:val="4FFD873B"/>
    <w:rsid w:val="51E7AB90"/>
    <w:rsid w:val="537D3AEF"/>
    <w:rsid w:val="56DD2DC2"/>
    <w:rsid w:val="57FDAD61"/>
    <w:rsid w:val="59F5BDC6"/>
    <w:rsid w:val="5AFFC0D8"/>
    <w:rsid w:val="5DDD1DD7"/>
    <w:rsid w:val="5ED78939"/>
    <w:rsid w:val="5EEFFF0B"/>
    <w:rsid w:val="5F7FC79F"/>
    <w:rsid w:val="67DE770D"/>
    <w:rsid w:val="67E958B9"/>
    <w:rsid w:val="67FD48FB"/>
    <w:rsid w:val="6AEF3D92"/>
    <w:rsid w:val="6B6EA1C7"/>
    <w:rsid w:val="6BBFDF12"/>
    <w:rsid w:val="6CFF1F36"/>
    <w:rsid w:val="6DFCC728"/>
    <w:rsid w:val="6F2F77D4"/>
    <w:rsid w:val="6F5B99AF"/>
    <w:rsid w:val="6F7EA52B"/>
    <w:rsid w:val="6FBF6684"/>
    <w:rsid w:val="733F0B7E"/>
    <w:rsid w:val="7376D688"/>
    <w:rsid w:val="74FF33D4"/>
    <w:rsid w:val="75FF9065"/>
    <w:rsid w:val="76F52A60"/>
    <w:rsid w:val="773DAD5F"/>
    <w:rsid w:val="77BED4D9"/>
    <w:rsid w:val="7923CAA7"/>
    <w:rsid w:val="7A8AC193"/>
    <w:rsid w:val="7AFDADB2"/>
    <w:rsid w:val="7BAEC95F"/>
    <w:rsid w:val="7BDFB67A"/>
    <w:rsid w:val="7BEC1A27"/>
    <w:rsid w:val="7BFD4972"/>
    <w:rsid w:val="7CEF1B44"/>
    <w:rsid w:val="7CFF6D94"/>
    <w:rsid w:val="7D0F212B"/>
    <w:rsid w:val="7DF7C7F3"/>
    <w:rsid w:val="7DFD628B"/>
    <w:rsid w:val="7DFF8F80"/>
    <w:rsid w:val="7EDFE3FC"/>
    <w:rsid w:val="7EE76496"/>
    <w:rsid w:val="7EF0B613"/>
    <w:rsid w:val="7F00A0FF"/>
    <w:rsid w:val="7F7881F5"/>
    <w:rsid w:val="7F7FC163"/>
    <w:rsid w:val="7FEC861C"/>
    <w:rsid w:val="7FFD58FE"/>
    <w:rsid w:val="7FFFB858"/>
    <w:rsid w:val="7FFFE44A"/>
    <w:rsid w:val="9C75C670"/>
    <w:rsid w:val="9FEB4D29"/>
    <w:rsid w:val="ADEEC453"/>
    <w:rsid w:val="ADFF400A"/>
    <w:rsid w:val="AFFFC254"/>
    <w:rsid w:val="B89DE982"/>
    <w:rsid w:val="B99F7BDF"/>
    <w:rsid w:val="BD76992B"/>
    <w:rsid w:val="BF7FEEE6"/>
    <w:rsid w:val="BFED9178"/>
    <w:rsid w:val="BFF70123"/>
    <w:rsid w:val="BFFDFB74"/>
    <w:rsid w:val="BFFF2309"/>
    <w:rsid w:val="C1FB809C"/>
    <w:rsid w:val="C6F576B1"/>
    <w:rsid w:val="CFBBA982"/>
    <w:rsid w:val="D55BCA9C"/>
    <w:rsid w:val="D6FE8C06"/>
    <w:rsid w:val="D71C15E0"/>
    <w:rsid w:val="D8F57E35"/>
    <w:rsid w:val="DADD68FF"/>
    <w:rsid w:val="DBDD8355"/>
    <w:rsid w:val="DBF331D3"/>
    <w:rsid w:val="DD7F149B"/>
    <w:rsid w:val="DEDA7F55"/>
    <w:rsid w:val="DF7F503B"/>
    <w:rsid w:val="DF7FEE47"/>
    <w:rsid w:val="DFB7807A"/>
    <w:rsid w:val="DFFA3A8A"/>
    <w:rsid w:val="DFFF2BEA"/>
    <w:rsid w:val="E3F71A59"/>
    <w:rsid w:val="E47EA55F"/>
    <w:rsid w:val="E5EBBC23"/>
    <w:rsid w:val="E62E9786"/>
    <w:rsid w:val="EAE0B5B5"/>
    <w:rsid w:val="EEFD1FF5"/>
    <w:rsid w:val="EFCF2BEA"/>
    <w:rsid w:val="F31FB6B5"/>
    <w:rsid w:val="F5D9A319"/>
    <w:rsid w:val="F6DF8095"/>
    <w:rsid w:val="F6F9C5DA"/>
    <w:rsid w:val="F8F78D1A"/>
    <w:rsid w:val="FA59E30B"/>
    <w:rsid w:val="FADBBD57"/>
    <w:rsid w:val="FB7D9E7C"/>
    <w:rsid w:val="FBBC7693"/>
    <w:rsid w:val="FBDE9B5C"/>
    <w:rsid w:val="FBEF486A"/>
    <w:rsid w:val="FBFEF8E6"/>
    <w:rsid w:val="FCBD5E48"/>
    <w:rsid w:val="FD7935FF"/>
    <w:rsid w:val="FDBC78E6"/>
    <w:rsid w:val="FDDFB51A"/>
    <w:rsid w:val="FDEE469C"/>
    <w:rsid w:val="FEB9FC5D"/>
    <w:rsid w:val="FEBF10C7"/>
    <w:rsid w:val="FEEBBE66"/>
    <w:rsid w:val="FEF47B67"/>
    <w:rsid w:val="FF7B14BA"/>
    <w:rsid w:val="FFB3C16B"/>
    <w:rsid w:val="FFB47E2E"/>
    <w:rsid w:val="FFBD85EC"/>
    <w:rsid w:val="FFDC8409"/>
    <w:rsid w:val="FFF7CA7C"/>
    <w:rsid w:val="FFFF8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styleId="5">
    <w:name w:val="Hyperlink"/>
    <w:basedOn w:val="4"/>
    <w:qFormat/>
    <w:uiPriority w:val="0"/>
    <w:rPr>
      <w:color w:val="0000FF"/>
      <w:u w:val="single"/>
    </w:rPr>
  </w:style>
  <w:style w:type="paragraph" w:customStyle="1" w:styleId="6">
    <w:name w:val="标题 31"/>
    <w:basedOn w:val="1"/>
    <w:qFormat/>
    <w:uiPriority w:val="0"/>
    <w:pPr>
      <w:spacing w:before="100" w:beforeAutospacing="1" w:after="100" w:afterAutospacing="1"/>
      <w:jc w:val="left"/>
    </w:pPr>
    <w:rPr>
      <w:rFonts w:hint="eastAsia" w:ascii="宋体" w:hAnsi="宋体" w:eastAsia="宋体"/>
      <w:b/>
      <w:bCs/>
      <w:kern w:val="0"/>
      <w:sz w:val="27"/>
      <w:szCs w:val="27"/>
      <w:lang w:val="en-US" w:eastAsia="zh-CN" w:bidi="ar"/>
    </w:rPr>
  </w:style>
  <w:style w:type="paragraph" w:customStyle="1" w:styleId="7">
    <w:name w:val="标题 41"/>
    <w:basedOn w:val="1"/>
    <w:qFormat/>
    <w:uiPriority w:val="0"/>
    <w:pPr>
      <w:spacing w:before="100" w:beforeAutospacing="1" w:after="100" w:afterAutospacing="1"/>
      <w:jc w:val="left"/>
    </w:pPr>
    <w:rPr>
      <w:rFonts w:hint="eastAsia" w:ascii="宋体" w:hAnsi="宋体" w:eastAsia="宋体"/>
      <w:b/>
      <w:bCs/>
      <w:kern w:val="0"/>
      <w:sz w:val="24"/>
      <w:szCs w:val="24"/>
      <w:lang w:val="en-US" w:eastAsia="zh-CN" w:bidi="ar"/>
    </w:rPr>
  </w:style>
  <w:style w:type="paragraph" w:customStyle="1" w:styleId="8">
    <w:name w:val="标题 51"/>
    <w:basedOn w:val="1"/>
    <w:qFormat/>
    <w:uiPriority w:val="0"/>
    <w:pPr>
      <w:spacing w:before="100" w:beforeAutospacing="1" w:after="100" w:afterAutospacing="1"/>
      <w:jc w:val="left"/>
    </w:pPr>
    <w:rPr>
      <w:rFonts w:hint="eastAsia" w:ascii="宋体" w:hAnsi="宋体" w:eastAsia="宋体"/>
      <w:b/>
      <w:bCs/>
      <w:kern w:val="0"/>
      <w:sz w:val="20"/>
      <w:szCs w:val="20"/>
      <w:lang w:val="en-US" w:eastAsia="zh-CN" w:bidi="ar"/>
    </w:rPr>
  </w:style>
  <w:style w:type="character" w:customStyle="1" w:styleId="9">
    <w:name w:val="默认段落字体1"/>
    <w:link w:val="1"/>
    <w:semiHidden/>
    <w:qFormat/>
    <w:uiPriority w:val="0"/>
  </w:style>
  <w:style w:type="table" w:customStyle="1" w:styleId="10">
    <w:name w:val="普通表格1"/>
    <w:qFormat/>
    <w:uiPriority w:val="0"/>
  </w:style>
  <w:style w:type="paragraph" w:customStyle="1" w:styleId="11">
    <w:name w:val="正文文本1"/>
    <w:basedOn w:val="1"/>
    <w:qFormat/>
    <w:uiPriority w:val="0"/>
    <w:pPr>
      <w:spacing w:after="120"/>
    </w:p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4">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15">
    <w:name w:val="超链接1"/>
    <w:basedOn w:val="9"/>
    <w:link w:val="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2024-11-24T08:28:00Z</dcterms:created>
  <dc:creator>sfj</dc:creator>
  <cp:lastModifiedBy>sfj</cp:lastModifiedBy>
  <dcterms:modified xsi:type="dcterms:W3CDTF">2024-11-22T16:35:12Z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